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FC4CDB" w14:textId="77777777" w:rsidR="00D85CDA" w:rsidRPr="00180426" w:rsidRDefault="00390084">
      <w:pPr>
        <w:pStyle w:val="Textoindependiente"/>
        <w:spacing w:before="3"/>
        <w:rPr>
          <w:sz w:val="15"/>
          <w:lang w:val="en-GB"/>
        </w:rPr>
      </w:pPr>
      <w:r>
        <w:rPr>
          <w:noProof/>
        </w:rPr>
        <mc:AlternateContent>
          <mc:Choice Requires="wps">
            <w:drawing>
              <wp:anchor distT="0" distB="0" distL="0" distR="0" simplePos="0" relativeHeight="487587840" behindDoc="1" locked="0" layoutInCell="1" allowOverlap="1" wp14:anchorId="0D409626" wp14:editId="01CCF32B">
                <wp:simplePos x="0" y="0"/>
                <wp:positionH relativeFrom="page">
                  <wp:posOffset>899998</wp:posOffset>
                </wp:positionH>
                <wp:positionV relativeFrom="paragraph">
                  <wp:posOffset>135619</wp:posOffset>
                </wp:positionV>
                <wp:extent cx="5760085" cy="127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EE75740" id="Graphic 3" o:spid="_x0000_s1026" style="position:absolute;margin-left:70.85pt;margin-top:10.7pt;width:453.55pt;height:.1pt;z-index:-15728640;visibility:visible;mso-wrap-style:square;mso-wrap-distance-left:0;mso-wrap-distance-top:0;mso-wrap-distance-right:0;mso-wrap-distance-bottom:0;mso-position-horizontal:absolute;mso-position-horizontal-relative:page;mso-position-vertical:absolute;mso-position-vertical-relative:text;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" path="m,l5759996,e" filled="f" strokeweight=".14039mm">
                <v:path arrowok="t"/>
                <w10:wrap type="topAndBottom" anchorx="page"/>
              </v:shape>
            </w:pict>
          </mc:Fallback>
        </mc:AlternateContent>
      </w:r>
    </w:p>
    <w:p w14:paraId="4492163C" w14:textId="1C410D9B" w:rsidR="00D85CDA" w:rsidRPr="00180426" w:rsidRDefault="00390084" w:rsidP="008673F7">
      <w:pPr>
        <w:spacing w:before="219"/>
        <w:ind w:right="108"/>
        <w:jc w:val="right"/>
        <w:rPr>
          <w:b/>
          <w:lang w:val="en-GB"/>
        </w:rPr>
      </w:pPr>
      <w:r w:rsidRPr="00180426">
        <w:rPr>
          <w:b/>
          <w:color w:val="7F7F7F"/>
          <w:spacing w:val="-2"/>
          <w:lang w:val="en-GB"/>
        </w:rPr>
        <w:t>INVESTIGACIÓN</w:t>
      </w:r>
    </w:p>
    <w:p w14:paraId="1AE4321D" w14:textId="2178A3E6" w:rsidR="00CF165B" w:rsidRPr="00CF165B" w:rsidRDefault="00CF165B" w:rsidP="00CF165B">
      <w:pPr>
        <w:pStyle w:val="Textoindependiente"/>
        <w:ind w:left="757" w:right="740"/>
        <w:jc w:val="center"/>
        <w:rPr>
          <w:sz w:val="32"/>
          <w:szCs w:val="32"/>
        </w:rPr>
      </w:pPr>
      <w:r>
        <w:rPr>
          <w:sz w:val="32"/>
          <w:szCs w:val="32"/>
        </w:rPr>
        <w:t xml:space="preserve">Una </w:t>
      </w:r>
      <w:r w:rsidRPr="00CF165B">
        <w:rPr>
          <w:sz w:val="32"/>
          <w:szCs w:val="32"/>
        </w:rPr>
        <w:t xml:space="preserve">Revisión Bibliográfica y de Contenido Web </w:t>
      </w:r>
      <w:r>
        <w:rPr>
          <w:sz w:val="32"/>
          <w:szCs w:val="32"/>
        </w:rPr>
        <w:t>sobre l</w:t>
      </w:r>
      <w:r w:rsidRPr="00CF165B">
        <w:rPr>
          <w:sz w:val="32"/>
          <w:szCs w:val="32"/>
        </w:rPr>
        <w:t>a Tecnología Blockchain en Procesos Administrativos del Sector Público</w:t>
      </w:r>
    </w:p>
    <w:p w14:paraId="23555453" w14:textId="42157063" w:rsidR="00CF165B" w:rsidRDefault="00CF165B" w:rsidP="00CF165B">
      <w:pPr>
        <w:pStyle w:val="Textoindependiente"/>
        <w:ind w:left="757" w:right="740"/>
        <w:jc w:val="center"/>
        <w:rPr>
          <w:color w:val="808080" w:themeColor="background1" w:themeShade="80"/>
          <w:sz w:val="28"/>
          <w:szCs w:val="28"/>
          <w:lang w:val="en-GB"/>
        </w:rPr>
      </w:pPr>
      <w:r w:rsidRPr="00CF165B">
        <w:rPr>
          <w:color w:val="808080" w:themeColor="background1" w:themeShade="80"/>
          <w:sz w:val="28"/>
          <w:szCs w:val="28"/>
          <w:lang w:val="en-GB"/>
        </w:rPr>
        <w:t>A Bibliographic and Web Content Review on Blockchain Technology in Administrative Processes of the Public Sector</w:t>
      </w:r>
    </w:p>
    <w:p w14:paraId="4B855B62" w14:textId="77777777" w:rsidR="001B4E19" w:rsidRPr="00CF165B" w:rsidRDefault="001B4E19" w:rsidP="00CF165B">
      <w:pPr>
        <w:pStyle w:val="Textoindependiente"/>
        <w:ind w:left="757" w:right="740"/>
        <w:jc w:val="center"/>
        <w:rPr>
          <w:color w:val="808080" w:themeColor="background1" w:themeShade="80"/>
          <w:sz w:val="28"/>
          <w:szCs w:val="28"/>
          <w:lang w:val="en-GB"/>
        </w:rPr>
      </w:pPr>
    </w:p>
    <w:p w14:paraId="60FFB75C" w14:textId="4CD4C0FE" w:rsidR="00D85CDA" w:rsidRPr="001B4E19" w:rsidRDefault="00390084" w:rsidP="001B4E19">
      <w:pPr>
        <w:pStyle w:val="Textoindependiente"/>
        <w:ind w:left="757" w:right="740"/>
        <w:rPr>
          <w:spacing w:val="-6"/>
        </w:rPr>
      </w:pPr>
      <w:r w:rsidRPr="00B433E1">
        <w:t>Autor</w:t>
      </w:r>
      <w:r w:rsidR="001B4E19">
        <w:rPr>
          <w:spacing w:val="-6"/>
        </w:rPr>
        <w:t>: Jiménez Glen</w:t>
      </w:r>
      <w:r>
        <w:rPr>
          <w:noProof/>
        </w:rPr>
        <mc:AlternateContent>
          <mc:Choice Requires="wpg">
            <w:drawing>
              <wp:anchor distT="0" distB="0" distL="0" distR="0" simplePos="0" relativeHeight="251650048" behindDoc="1" locked="0" layoutInCell="1" allowOverlap="1" wp14:anchorId="7503A342" wp14:editId="279B0946">
                <wp:simplePos x="0" y="0"/>
                <wp:positionH relativeFrom="page">
                  <wp:posOffset>917998</wp:posOffset>
                </wp:positionH>
                <wp:positionV relativeFrom="paragraph">
                  <wp:posOffset>308099</wp:posOffset>
                </wp:positionV>
                <wp:extent cx="5724525" cy="501015"/>
                <wp:effectExtent l="0" t="0" r="0" b="0"/>
                <wp:wrapTopAndBottom/>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4525" cy="501015"/>
                          <a:chOff x="0" y="0"/>
                          <a:chExt cx="5724525" cy="501015"/>
                        </a:xfrm>
                      </wpg:grpSpPr>
                      <wps:wsp>
                        <wps:cNvPr id="7" name="Graphic 7"/>
                        <wps:cNvSpPr/>
                        <wps:spPr>
                          <a:xfrm>
                            <a:off x="0" y="0"/>
                            <a:ext cx="5724525" cy="501015"/>
                          </a:xfrm>
                          <a:custGeom>
                            <a:avLst/>
                            <a:gdLst/>
                            <a:ahLst/>
                            <a:cxnLst/>
                            <a:rect l="l" t="t" r="r" b="b"/>
                            <a:pathLst>
                              <a:path w="5724525" h="501015">
                                <a:moveTo>
                                  <a:pt x="5688073" y="0"/>
                                </a:moveTo>
                                <a:lnTo>
                                  <a:pt x="36000" y="0"/>
                                </a:lnTo>
                                <a:lnTo>
                                  <a:pt x="21987" y="2829"/>
                                </a:lnTo>
                                <a:lnTo>
                                  <a:pt x="10544" y="10544"/>
                                </a:lnTo>
                                <a:lnTo>
                                  <a:pt x="2829" y="21987"/>
                                </a:lnTo>
                                <a:lnTo>
                                  <a:pt x="0" y="36000"/>
                                </a:lnTo>
                                <a:lnTo>
                                  <a:pt x="0" y="464496"/>
                                </a:lnTo>
                                <a:lnTo>
                                  <a:pt x="2829" y="478509"/>
                                </a:lnTo>
                                <a:lnTo>
                                  <a:pt x="10544" y="489952"/>
                                </a:lnTo>
                                <a:lnTo>
                                  <a:pt x="21987" y="497667"/>
                                </a:lnTo>
                                <a:lnTo>
                                  <a:pt x="36000" y="500496"/>
                                </a:lnTo>
                                <a:lnTo>
                                  <a:pt x="5688073" y="500496"/>
                                </a:lnTo>
                                <a:lnTo>
                                  <a:pt x="5702086" y="497667"/>
                                </a:lnTo>
                                <a:lnTo>
                                  <a:pt x="5713529" y="489952"/>
                                </a:lnTo>
                                <a:lnTo>
                                  <a:pt x="5721244" y="478509"/>
                                </a:lnTo>
                                <a:lnTo>
                                  <a:pt x="5724074" y="464496"/>
                                </a:lnTo>
                                <a:lnTo>
                                  <a:pt x="5724074" y="36000"/>
                                </a:lnTo>
                                <a:lnTo>
                                  <a:pt x="5721244" y="21987"/>
                                </a:lnTo>
                                <a:lnTo>
                                  <a:pt x="5713529" y="10544"/>
                                </a:lnTo>
                                <a:lnTo>
                                  <a:pt x="5702086" y="2829"/>
                                </a:lnTo>
                                <a:lnTo>
                                  <a:pt x="5688073" y="0"/>
                                </a:lnTo>
                                <a:close/>
                              </a:path>
                            </a:pathLst>
                          </a:custGeom>
                          <a:solidFill>
                            <a:srgbClr val="F2F2F2"/>
                          </a:solidFill>
                        </wps:spPr>
                        <wps:bodyPr wrap="square" lIns="0" tIns="0" rIns="0" bIns="0" rtlCol="0">
                          <a:prstTxWarp prst="textNoShape">
                            <a:avLst/>
                          </a:prstTxWarp>
                          <a:noAutofit/>
                        </wps:bodyPr>
                      </wps:wsp>
                      <wps:wsp>
                        <wps:cNvPr id="8" name="Textbox 8"/>
                        <wps:cNvSpPr txBox="1"/>
                        <wps:spPr>
                          <a:xfrm>
                            <a:off x="0" y="0"/>
                            <a:ext cx="5724525" cy="501015"/>
                          </a:xfrm>
                          <a:prstGeom prst="rect">
                            <a:avLst/>
                          </a:prstGeom>
                        </wps:spPr>
                        <wps:txbx>
                          <w:txbxContent>
                            <w:p w14:paraId="0D59F0F2" w14:textId="77777777" w:rsidR="00D85CDA" w:rsidRDefault="00390084">
                              <w:pPr>
                                <w:spacing w:before="124" w:line="225" w:lineRule="auto"/>
                                <w:ind w:left="283" w:right="281"/>
                                <w:rPr>
                                  <w:sz w:val="20"/>
                                </w:rPr>
                              </w:pPr>
                              <w:r>
                                <w:rPr>
                                  <w:b/>
                                </w:rPr>
                                <w:t>Cómo citar</w:t>
                              </w:r>
                              <w:r>
                                <w:t xml:space="preserve">: </w:t>
                              </w:r>
                              <w:r>
                                <w:rPr>
                                  <w:sz w:val="20"/>
                                </w:rPr>
                                <w:t xml:space="preserve">A. B. Apellido1-Apellido2 and C. D. Apellido1-Apellido2, “Título original del ar- tículo,” </w:t>
                              </w:r>
                              <w:r>
                                <w:rPr>
                                  <w:i/>
                                  <w:sz w:val="20"/>
                                </w:rPr>
                                <w:t>Tecnura</w:t>
                              </w:r>
                              <w:r>
                                <w:rPr>
                                  <w:sz w:val="20"/>
                                </w:rPr>
                                <w:t xml:space="preserve">, vol. xx, no. xx, pp. xx–xx, 202x, </w:t>
                              </w:r>
                              <w:hyperlink r:id="rId8">
                                <w:r>
                                  <w:rPr>
                                    <w:color w:val="13A0FA"/>
                                    <w:sz w:val="20"/>
                                  </w:rPr>
                                  <w:t>https://doi.org/10.14483/22487638.xxxx</w:t>
                                </w:r>
                              </w:hyperlink>
                            </w:p>
                          </w:txbxContent>
                        </wps:txbx>
                        <wps:bodyPr wrap="square" lIns="0" tIns="0" rIns="0" bIns="0" rtlCol="0">
                          <a:noAutofit/>
                        </wps:bodyPr>
                      </wps:wsp>
                    </wpg:wgp>
                  </a:graphicData>
                </a:graphic>
              </wp:anchor>
            </w:drawing>
          </mc:Choice>
          <mc:Fallback>
            <w:pict>
              <v:group w14:anchorId="7503A342" id="Group 6" o:spid="_x0000_s1026" style="position:absolute;left:0;text-align:left;margin-left:72.3pt;margin-top:24.25pt;width:450.75pt;height:39.45pt;z-index:-251666432;mso-wrap-distance-left:0;mso-wrap-distance-right:0;mso-position-horizontal-relative:page" coordsize="57245,5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">
                <v:shape id="Graphic 7" o:spid="_x0000_s1027" style="position:absolute;width:57245;height:5010;visibility:visible;mso-wrap-style:square;v-text-anchor:top" coordsize="572452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" path="m5688073,l36000,,21987,2829,10544,10544,2829,21987,,36000,,464496r2829,14013l10544,489952r11443,7715l36000,500496r5652073,l5702086,497667r11443,-7715l5721244,478509r2830,-14013l5724074,36000r-2830,-14013l5713529,10544,5702086,2829,5688073,xe" fillcolor="#f2f2f2" stroked="f">
                  <v:path arrowok="t"/>
                </v:shape>
                <v:shapetype id="_x0000_t202" coordsize="21600,21600" o:spt="202" path="m,l,21600r21600,l21600,xe">
                  <v:stroke joinstyle="miter"/>
                  <v:path gradientshapeok="t" o:connecttype="rect"/>
                </v:shapetype>
                <v:shape id="Textbox 8" o:spid="_x0000_s1028" type="#_x0000_t202" style="position:absolute;width:57245;height:5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0D59F0F2" w14:textId="77777777" w:rsidR="00D85CDA" w:rsidRDefault="00390084">
                        <w:pPr>
                          <w:spacing w:before="124" w:line="225" w:lineRule="auto"/>
                          <w:ind w:left="283" w:right="281"/>
                          <w:rPr>
                            <w:sz w:val="20"/>
                          </w:rPr>
                        </w:pPr>
                        <w:r>
                          <w:rPr>
                            <w:b/>
                          </w:rPr>
                          <w:t>Cómo citar</w:t>
                        </w:r>
                        <w:r>
                          <w:t xml:space="preserve">: </w:t>
                        </w:r>
                        <w:r>
                          <w:rPr>
                            <w:sz w:val="20"/>
                          </w:rPr>
                          <w:t xml:space="preserve">A. B. Apellido1-Apellido2 and C. D. Apellido1-Apellido2, “Título original del ar- tículo,” </w:t>
                        </w:r>
                        <w:r>
                          <w:rPr>
                            <w:i/>
                            <w:sz w:val="20"/>
                          </w:rPr>
                          <w:t>Tecnura</w:t>
                        </w:r>
                        <w:r>
                          <w:rPr>
                            <w:sz w:val="20"/>
                          </w:rPr>
                          <w:t xml:space="preserve">, vol. xx, no. xx, pp. xx–xx, 202x, </w:t>
                        </w:r>
                        <w:hyperlink r:id="rId9">
                          <w:r>
                            <w:rPr>
                              <w:color w:val="13A0FA"/>
                              <w:sz w:val="20"/>
                            </w:rPr>
                            <w:t>https://doi.org/10.14483/22487638.xxxx</w:t>
                          </w:r>
                        </w:hyperlink>
                      </w:p>
                    </w:txbxContent>
                  </v:textbox>
                </v:shape>
                <w10:wrap type="topAndBottom" anchorx="page"/>
              </v:group>
            </w:pict>
          </mc:Fallback>
        </mc:AlternateContent>
      </w:r>
    </w:p>
    <w:p w14:paraId="4D2A3018" w14:textId="77777777" w:rsidR="00D85CDA" w:rsidRDefault="00390084" w:rsidP="00CF165B">
      <w:pPr>
        <w:pStyle w:val="Ttulo1"/>
        <w:ind w:left="137" w:firstLine="0"/>
      </w:pPr>
      <w:r>
        <w:rPr>
          <w:spacing w:val="-2"/>
        </w:rPr>
        <w:t>Resumen</w:t>
      </w:r>
    </w:p>
    <w:p w14:paraId="358522C2" w14:textId="1352F140" w:rsidR="00D85CDA" w:rsidRDefault="00390084" w:rsidP="007652FB">
      <w:pPr>
        <w:spacing w:before="247"/>
        <w:ind w:left="137"/>
        <w:jc w:val="both"/>
        <w:rPr>
          <w:b/>
          <w:sz w:val="18"/>
        </w:rPr>
      </w:pPr>
      <w:r>
        <w:rPr>
          <w:b/>
          <w:spacing w:val="-2"/>
          <w:sz w:val="18"/>
        </w:rPr>
        <w:t>Objetivo:</w:t>
      </w:r>
      <w:r w:rsidR="00180426" w:rsidRPr="00180426">
        <w:t xml:space="preserve"> </w:t>
      </w:r>
      <w:r w:rsidR="001E3753">
        <w:rPr>
          <w:sz w:val="18"/>
          <w:szCs w:val="18"/>
        </w:rPr>
        <w:t>Analizar</w:t>
      </w:r>
      <w:r w:rsidR="00180426" w:rsidRPr="007652FB">
        <w:rPr>
          <w:sz w:val="18"/>
          <w:szCs w:val="18"/>
        </w:rPr>
        <w:t xml:space="preserve"> el impacto de la tecnología blockchain en la optimización de los procesos administrativos del sector público</w:t>
      </w:r>
      <w:r w:rsidR="001E3753">
        <w:rPr>
          <w:sz w:val="18"/>
          <w:szCs w:val="18"/>
        </w:rPr>
        <w:t xml:space="preserve"> para </w:t>
      </w:r>
      <w:r w:rsidR="00180426" w:rsidRPr="007652FB">
        <w:rPr>
          <w:sz w:val="18"/>
          <w:szCs w:val="18"/>
        </w:rPr>
        <w:t>la</w:t>
      </w:r>
      <w:r w:rsidR="001E3753">
        <w:rPr>
          <w:sz w:val="18"/>
          <w:szCs w:val="18"/>
        </w:rPr>
        <w:t xml:space="preserve"> mejora de la</w:t>
      </w:r>
      <w:r w:rsidR="00180426" w:rsidRPr="007652FB">
        <w:rPr>
          <w:sz w:val="18"/>
          <w:szCs w:val="18"/>
        </w:rPr>
        <w:t xml:space="preserve"> transparencia y la eficiencia operativa.</w:t>
      </w:r>
    </w:p>
    <w:p w14:paraId="4F933BD3" w14:textId="727D9C85" w:rsidR="00D85CDA" w:rsidRDefault="00390084" w:rsidP="007652FB">
      <w:pPr>
        <w:ind w:left="137"/>
        <w:jc w:val="both"/>
        <w:rPr>
          <w:b/>
          <w:sz w:val="18"/>
        </w:rPr>
      </w:pPr>
      <w:r>
        <w:rPr>
          <w:b/>
          <w:spacing w:val="-2"/>
          <w:sz w:val="18"/>
        </w:rPr>
        <w:t>Métodología:</w:t>
      </w:r>
      <w:r w:rsidR="007652FB">
        <w:rPr>
          <w:b/>
          <w:spacing w:val="-2"/>
          <w:sz w:val="18"/>
        </w:rPr>
        <w:t xml:space="preserve"> </w:t>
      </w:r>
      <w:r w:rsidR="007652FB" w:rsidRPr="007652FB">
        <w:rPr>
          <w:sz w:val="18"/>
          <w:szCs w:val="18"/>
        </w:rPr>
        <w:t>Se aplicó una metodología cualitativa con tres fases: revisión bibliográfica en Scopus, Web of Science y Google Académico (2018–2025), análisis bibliométrico con VOSviewer y análisis de contenido web de 35 documentos, incluyendo artículos científicos, normativas e informes.</w:t>
      </w:r>
    </w:p>
    <w:p w14:paraId="5E6AF534" w14:textId="4AD2B93C" w:rsidR="00D85CDA" w:rsidRDefault="00390084" w:rsidP="007652FB">
      <w:pPr>
        <w:spacing w:before="57"/>
        <w:ind w:left="137"/>
        <w:jc w:val="both"/>
        <w:rPr>
          <w:b/>
          <w:sz w:val="18"/>
        </w:rPr>
      </w:pPr>
      <w:r>
        <w:rPr>
          <w:b/>
          <w:spacing w:val="-2"/>
          <w:sz w:val="18"/>
        </w:rPr>
        <w:t>Resultados:</w:t>
      </w:r>
      <w:r w:rsidR="007652FB" w:rsidRPr="007652FB">
        <w:t xml:space="preserve"> </w:t>
      </w:r>
      <w:r w:rsidR="007652FB" w:rsidRPr="007652FB">
        <w:rPr>
          <w:sz w:val="18"/>
          <w:szCs w:val="18"/>
        </w:rPr>
        <w:t xml:space="preserve">La revisión bibliográfica </w:t>
      </w:r>
      <w:r w:rsidR="00815209">
        <w:rPr>
          <w:sz w:val="18"/>
          <w:szCs w:val="18"/>
        </w:rPr>
        <w:t>mostró</w:t>
      </w:r>
      <w:r w:rsidR="007652FB" w:rsidRPr="007652FB">
        <w:rPr>
          <w:sz w:val="18"/>
          <w:szCs w:val="18"/>
        </w:rPr>
        <w:t xml:space="preserve"> un crecimiento en la producción académica desde 2020, con predominancia de estudios en ciencias sociales, gestión pública y sistemas de información. Se identific</w:t>
      </w:r>
      <w:r w:rsidR="00815209">
        <w:rPr>
          <w:sz w:val="18"/>
          <w:szCs w:val="18"/>
        </w:rPr>
        <w:t>ó</w:t>
      </w:r>
      <w:r w:rsidR="007652FB" w:rsidRPr="007652FB">
        <w:rPr>
          <w:sz w:val="18"/>
          <w:szCs w:val="18"/>
        </w:rPr>
        <w:t xml:space="preserve"> cuatro ejes temáticos: gobernanza, eficiencia, transparencia y sostenibilidad. El análisis bibliométrico reveló una alta dispersión de autores y términos clave como “transparency”, “governance” y “trust”. </w:t>
      </w:r>
      <w:r w:rsidR="00815209">
        <w:rPr>
          <w:sz w:val="18"/>
          <w:szCs w:val="18"/>
        </w:rPr>
        <w:t>Por último, e</w:t>
      </w:r>
      <w:r w:rsidR="007652FB" w:rsidRPr="007652FB">
        <w:rPr>
          <w:sz w:val="18"/>
          <w:szCs w:val="18"/>
        </w:rPr>
        <w:t xml:space="preserve">l análisis de contenido web mostró que </w:t>
      </w:r>
      <w:r w:rsidR="00815209">
        <w:rPr>
          <w:sz w:val="18"/>
          <w:szCs w:val="18"/>
        </w:rPr>
        <w:t xml:space="preserve">la </w:t>
      </w:r>
      <w:r w:rsidR="007652FB" w:rsidRPr="007652FB">
        <w:rPr>
          <w:sz w:val="18"/>
          <w:szCs w:val="18"/>
        </w:rPr>
        <w:t>blockchain aporta valor e</w:t>
      </w:r>
      <w:r w:rsidR="00815209">
        <w:rPr>
          <w:sz w:val="18"/>
          <w:szCs w:val="18"/>
        </w:rPr>
        <w:t xml:space="preserve">n </w:t>
      </w:r>
      <w:r w:rsidR="007652FB" w:rsidRPr="007652FB">
        <w:rPr>
          <w:sz w:val="18"/>
          <w:szCs w:val="18"/>
        </w:rPr>
        <w:t>trazabilidad documental, seguridad e integridad de datos y automatización de procesos con contratos inteligentes. Entre los factores críticos se destacan los marcos legales, la interoperabilidad y la percepción de confianza institucional.</w:t>
      </w:r>
    </w:p>
    <w:p w14:paraId="660406CB" w14:textId="1DAF6B96" w:rsidR="00D85CDA" w:rsidRPr="007652FB" w:rsidRDefault="00390084" w:rsidP="007652FB">
      <w:pPr>
        <w:spacing w:before="57"/>
        <w:ind w:left="137"/>
        <w:jc w:val="both"/>
        <w:rPr>
          <w:b/>
          <w:sz w:val="18"/>
          <w:szCs w:val="18"/>
        </w:rPr>
      </w:pPr>
      <w:r>
        <w:rPr>
          <w:b/>
          <w:spacing w:val="-2"/>
          <w:sz w:val="18"/>
        </w:rPr>
        <w:t>Conclusiones:</w:t>
      </w:r>
      <w:r w:rsidR="007652FB" w:rsidRPr="007652FB">
        <w:t xml:space="preserve"> </w:t>
      </w:r>
      <w:r w:rsidR="007652FB" w:rsidRPr="007652FB">
        <w:rPr>
          <w:sz w:val="18"/>
          <w:szCs w:val="18"/>
        </w:rPr>
        <w:t>La implementación de blockchain en procesos administrativos públicos genera beneficios como eficiencia operativa, transparencia institucional y confianza ciudadana. Además, promueve la trazabilidad documental y fortalece la seguridad de la información. El estudio confirma que el cumplimiento normativo, la voluntad política y el fortalecimiento institucional son determinantes para el éxito de esta tecnología.</w:t>
      </w:r>
    </w:p>
    <w:p w14:paraId="7478F317" w14:textId="19102AA7" w:rsidR="00D85CDA" w:rsidRPr="008673F7" w:rsidRDefault="00390084" w:rsidP="008673F7">
      <w:pPr>
        <w:tabs>
          <w:tab w:val="left" w:pos="9208"/>
        </w:tabs>
        <w:ind w:left="137"/>
        <w:rPr>
          <w:b/>
          <w:i/>
          <w:sz w:val="18"/>
          <w:u w:val="single"/>
        </w:rPr>
      </w:pPr>
      <w:r w:rsidRPr="007652FB">
        <w:rPr>
          <w:b/>
          <w:i/>
          <w:sz w:val="18"/>
          <w:u w:val="single"/>
        </w:rPr>
        <w:t>Palabras</w:t>
      </w:r>
      <w:r w:rsidRPr="007652FB">
        <w:rPr>
          <w:b/>
          <w:i/>
          <w:spacing w:val="-9"/>
          <w:sz w:val="18"/>
          <w:u w:val="single"/>
        </w:rPr>
        <w:t xml:space="preserve"> </w:t>
      </w:r>
      <w:r w:rsidRPr="007652FB">
        <w:rPr>
          <w:b/>
          <w:i/>
          <w:spacing w:val="-2"/>
          <w:sz w:val="18"/>
          <w:u w:val="single"/>
        </w:rPr>
        <w:t>clave:</w:t>
      </w:r>
      <w:r w:rsidR="007652FB" w:rsidRPr="007652FB">
        <w:rPr>
          <w:u w:val="single"/>
        </w:rPr>
        <w:t xml:space="preserve"> </w:t>
      </w:r>
      <w:r w:rsidR="007652FB" w:rsidRPr="007652FB">
        <w:rPr>
          <w:sz w:val="18"/>
          <w:szCs w:val="18"/>
          <w:u w:val="single"/>
        </w:rPr>
        <w:t>Blockchain, procesos administrativos, sector público, transparencia, eficiencia.</w:t>
      </w:r>
      <w:r w:rsidRPr="007652FB">
        <w:rPr>
          <w:sz w:val="18"/>
          <w:szCs w:val="18"/>
          <w:u w:val="single"/>
        </w:rPr>
        <w:tab/>
      </w:r>
    </w:p>
    <w:p w14:paraId="45C8F669" w14:textId="77777777" w:rsidR="00DF6711" w:rsidRPr="00B433E1" w:rsidRDefault="00DF6711">
      <w:pPr>
        <w:pStyle w:val="Ttulo1"/>
        <w:ind w:left="137" w:firstLine="0"/>
        <w:rPr>
          <w:spacing w:val="-2"/>
        </w:rPr>
      </w:pPr>
    </w:p>
    <w:p w14:paraId="5F12A088" w14:textId="414316A8" w:rsidR="00D85CDA" w:rsidRPr="00180426" w:rsidRDefault="00390084" w:rsidP="00815209">
      <w:pPr>
        <w:pStyle w:val="Ttulo1"/>
        <w:rPr>
          <w:lang w:val="en-GB"/>
        </w:rPr>
      </w:pPr>
      <w:r w:rsidRPr="00180426">
        <w:rPr>
          <w:spacing w:val="-2"/>
          <w:lang w:val="en-GB"/>
        </w:rPr>
        <w:t>Abstract</w:t>
      </w:r>
    </w:p>
    <w:p w14:paraId="68A55FE3" w14:textId="07AC94DC" w:rsidR="00D85CDA" w:rsidRPr="00815209" w:rsidRDefault="00390084" w:rsidP="00815209">
      <w:pPr>
        <w:ind w:left="137"/>
        <w:jc w:val="both"/>
        <w:rPr>
          <w:b/>
          <w:sz w:val="18"/>
          <w:szCs w:val="18"/>
          <w:lang w:val="en-GB"/>
        </w:rPr>
      </w:pPr>
      <w:r w:rsidRPr="00815209">
        <w:rPr>
          <w:b/>
          <w:spacing w:val="-2"/>
          <w:sz w:val="18"/>
          <w:szCs w:val="18"/>
          <w:lang w:val="en-GB"/>
        </w:rPr>
        <w:t>Objective:</w:t>
      </w:r>
      <w:r w:rsidR="007652FB" w:rsidRPr="00815209">
        <w:rPr>
          <w:sz w:val="18"/>
          <w:szCs w:val="18"/>
          <w:lang w:val="en-GB"/>
        </w:rPr>
        <w:t xml:space="preserve"> </w:t>
      </w:r>
      <w:r w:rsidR="00815209" w:rsidRPr="00815209">
        <w:rPr>
          <w:sz w:val="18"/>
          <w:szCs w:val="18"/>
          <w:lang w:val="en-GB"/>
        </w:rPr>
        <w:t>To analyze the impact of blockchain technology on the optimization of administrative processes in the public sector to improve transparency and operational efficiency.</w:t>
      </w:r>
    </w:p>
    <w:p w14:paraId="2B5C898B" w14:textId="71B66B19" w:rsidR="00D85CDA" w:rsidRPr="00815209" w:rsidRDefault="00390084" w:rsidP="007652FB">
      <w:pPr>
        <w:spacing w:before="57"/>
        <w:ind w:left="137"/>
        <w:jc w:val="both"/>
        <w:rPr>
          <w:b/>
          <w:sz w:val="18"/>
          <w:szCs w:val="18"/>
          <w:lang w:val="en-GB"/>
        </w:rPr>
      </w:pPr>
      <w:r w:rsidRPr="00815209">
        <w:rPr>
          <w:b/>
          <w:spacing w:val="-2"/>
          <w:sz w:val="18"/>
          <w:szCs w:val="18"/>
          <w:lang w:val="en-GB"/>
        </w:rPr>
        <w:t>Methodology:</w:t>
      </w:r>
      <w:r w:rsidR="007652FB" w:rsidRPr="00815209">
        <w:rPr>
          <w:sz w:val="18"/>
          <w:szCs w:val="18"/>
          <w:lang w:val="en-GB"/>
        </w:rPr>
        <w:t xml:space="preserve"> </w:t>
      </w:r>
      <w:r w:rsidR="00815209" w:rsidRPr="00815209">
        <w:rPr>
          <w:sz w:val="18"/>
          <w:szCs w:val="18"/>
          <w:lang w:val="en-GB"/>
        </w:rPr>
        <w:t>A qualitative methodology was applied in three phases: a literature review in Scopus, Web of Science, and Google Scholar (2018–2025); a bibliometric analysis using VOSviewer; and a web content analysis of 35 documents, including scientific articles, regulations, and reports.</w:t>
      </w:r>
    </w:p>
    <w:p w14:paraId="18155990" w14:textId="5B6EB92A" w:rsidR="00D85CDA" w:rsidRPr="00815209" w:rsidRDefault="00390084" w:rsidP="007652FB">
      <w:pPr>
        <w:spacing w:before="57"/>
        <w:ind w:left="137"/>
        <w:jc w:val="both"/>
        <w:rPr>
          <w:b/>
          <w:sz w:val="18"/>
          <w:szCs w:val="18"/>
          <w:lang w:val="en-GB"/>
        </w:rPr>
      </w:pPr>
      <w:r w:rsidRPr="00815209">
        <w:rPr>
          <w:b/>
          <w:spacing w:val="-2"/>
          <w:sz w:val="18"/>
          <w:szCs w:val="18"/>
          <w:lang w:val="en-GB"/>
        </w:rPr>
        <w:t>Results:</w:t>
      </w:r>
      <w:r w:rsidR="007652FB" w:rsidRPr="00815209">
        <w:rPr>
          <w:sz w:val="18"/>
          <w:szCs w:val="18"/>
          <w:lang w:val="en-GB"/>
        </w:rPr>
        <w:t xml:space="preserve"> </w:t>
      </w:r>
      <w:r w:rsidR="00815209" w:rsidRPr="00815209">
        <w:rPr>
          <w:sz w:val="18"/>
          <w:szCs w:val="18"/>
          <w:lang w:val="en-GB"/>
        </w:rPr>
        <w:t>The literature review revealed a growing body of academic work since 2020, with a predominance of studies in social sciences, public management, and information systems. Four thematic axes were identified: governance, efficiency, transparency, and sustainability. The bibliometric analysis showed high author dispersion and highlighted key terms such as “transparency,” “governance,” and “trust.” Finally, the web content analysis indicated that blockchain adds value in document traceability, data security and integrity, and process automation through smart contracts. Critical factors include legal frameworks, interoperability, and the perception of institutional trust.</w:t>
      </w:r>
    </w:p>
    <w:p w14:paraId="215E4F03" w14:textId="5276412E" w:rsidR="00D85CDA" w:rsidRPr="00815209" w:rsidRDefault="00390084" w:rsidP="007652FB">
      <w:pPr>
        <w:spacing w:before="57"/>
        <w:ind w:left="137"/>
        <w:jc w:val="both"/>
        <w:rPr>
          <w:b/>
          <w:sz w:val="18"/>
          <w:szCs w:val="18"/>
          <w:lang w:val="en-GB"/>
        </w:rPr>
      </w:pPr>
      <w:r w:rsidRPr="00815209">
        <w:rPr>
          <w:b/>
          <w:spacing w:val="-2"/>
          <w:sz w:val="18"/>
          <w:szCs w:val="18"/>
          <w:lang w:val="en-GB"/>
        </w:rPr>
        <w:t>Conclusions:</w:t>
      </w:r>
      <w:r w:rsidR="007652FB" w:rsidRPr="00815209">
        <w:rPr>
          <w:sz w:val="18"/>
          <w:szCs w:val="18"/>
          <w:lang w:val="en-GB"/>
        </w:rPr>
        <w:t xml:space="preserve"> The implementation of blockchain in public administrative processes brings benefits such as operational efficiency, institutional transparency, and citizen trust. It also promotes document traceability and strengthens information security. The study confirms that regulatory compliance, political will, and institutional strengthening are key for successful adoption.</w:t>
      </w:r>
    </w:p>
    <w:p w14:paraId="72EA130E" w14:textId="1156929C" w:rsidR="00D85CDA" w:rsidRPr="00815209" w:rsidRDefault="00390084" w:rsidP="00DF6711">
      <w:pPr>
        <w:tabs>
          <w:tab w:val="left" w:pos="9208"/>
        </w:tabs>
        <w:ind w:left="137"/>
        <w:rPr>
          <w:sz w:val="18"/>
          <w:szCs w:val="18"/>
          <w:u w:val="single"/>
          <w:lang w:val="en-GB"/>
        </w:rPr>
      </w:pPr>
      <w:r w:rsidRPr="00815209">
        <w:rPr>
          <w:b/>
          <w:i/>
          <w:spacing w:val="-2"/>
          <w:sz w:val="18"/>
          <w:szCs w:val="18"/>
          <w:u w:val="single"/>
          <w:lang w:val="en-GB"/>
        </w:rPr>
        <w:t>Keywords:</w:t>
      </w:r>
      <w:r w:rsidR="007652FB" w:rsidRPr="00815209">
        <w:rPr>
          <w:sz w:val="18"/>
          <w:szCs w:val="18"/>
          <w:u w:val="single"/>
          <w:lang w:val="en-GB"/>
        </w:rPr>
        <w:t xml:space="preserve"> Blockchain, administrative processes, public sector, transparency, efficiency.</w:t>
      </w:r>
      <w:r w:rsidRPr="00815209">
        <w:rPr>
          <w:b/>
          <w:i/>
          <w:sz w:val="18"/>
          <w:szCs w:val="18"/>
          <w:u w:val="single"/>
          <w:lang w:val="en-GB"/>
        </w:rPr>
        <w:tab/>
      </w:r>
    </w:p>
    <w:p w14:paraId="6704FB61" w14:textId="77777777" w:rsidR="00D85CDA" w:rsidRDefault="00D85CDA">
      <w:pPr>
        <w:rPr>
          <w:sz w:val="18"/>
        </w:rPr>
        <w:sectPr w:rsidR="00D85CDA">
          <w:footerReference w:type="default" r:id="rId10"/>
          <w:type w:val="continuous"/>
          <w:pgSz w:w="11920" w:h="16860"/>
          <w:pgMar w:top="560" w:right="1320" w:bottom="1260" w:left="1280" w:header="0" w:footer="1073" w:gutter="0"/>
          <w:pgNumType w:start="1"/>
          <w:cols w:space="720"/>
        </w:sectPr>
      </w:pPr>
    </w:p>
    <w:p w14:paraId="452CAA81" w14:textId="77777777" w:rsidR="00D85CDA" w:rsidRDefault="00390084">
      <w:pPr>
        <w:pStyle w:val="Ttulo1"/>
        <w:numPr>
          <w:ilvl w:val="0"/>
          <w:numId w:val="2"/>
        </w:numPr>
        <w:tabs>
          <w:tab w:val="left" w:pos="639"/>
        </w:tabs>
        <w:spacing w:before="326"/>
        <w:ind w:hanging="502"/>
      </w:pPr>
      <w:bookmarkStart w:id="0" w:name="Introducción"/>
      <w:bookmarkEnd w:id="0"/>
      <w:r>
        <w:rPr>
          <w:spacing w:val="-2"/>
        </w:rPr>
        <w:lastRenderedPageBreak/>
        <w:t>Introducción</w:t>
      </w:r>
    </w:p>
    <w:p w14:paraId="62129FF3" w14:textId="77777777" w:rsidR="00CE604F" w:rsidRDefault="00CE604F" w:rsidP="00CE604F"/>
    <w:p w14:paraId="0568C2E8" w14:textId="78D8A5CC" w:rsidR="00D474A9" w:rsidRPr="006944B3" w:rsidRDefault="00D474A9" w:rsidP="00D474A9">
      <w:pPr>
        <w:spacing w:line="276" w:lineRule="auto"/>
        <w:jc w:val="both"/>
      </w:pPr>
      <w:r>
        <w:t xml:space="preserve">       </w:t>
      </w:r>
      <w:r w:rsidRPr="006944B3">
        <w:t>La transformación digital del sector público ha sido presentada durante la última década como una vía para fortalecer la eficiencia del Estado y recuperar la legitimidad institucional mediante prácticas de gestión más transparentes, interoperables y centradas en el ciudadano. Sin embargo, en países como Colombia, estas promesas continúan estancadas ante una serie de disfuncionalidades estructurales que perpetúan una administración pública burocrática, opaca y poco eficaz [1], [2]. La evidencia empírica es contundente: el Banco Interamericano de Desarrollo (BID) ha estimado que las ineficiencias del gasto público colombiano ascendían en 2018 al 4.8% del PIB, lo que equivale a cerca de 66 billones de pesos anuales mal utilizados o derrochados [3].</w:t>
      </w:r>
    </w:p>
    <w:p w14:paraId="1F09FC53" w14:textId="52901984" w:rsidR="00D474A9" w:rsidRPr="006944B3" w:rsidRDefault="00D474A9" w:rsidP="00D474A9">
      <w:pPr>
        <w:spacing w:line="276" w:lineRule="auto"/>
        <w:jc w:val="both"/>
      </w:pPr>
      <w:r w:rsidRPr="006944B3">
        <w:t xml:space="preserve">       Estas limitaciones operativas s</w:t>
      </w:r>
      <w:r w:rsidR="00F8049A">
        <w:t>on agravadas</w:t>
      </w:r>
      <w:r w:rsidRPr="006944B3">
        <w:t xml:space="preserve"> por la</w:t>
      </w:r>
      <w:r w:rsidR="00F8049A">
        <w:t xml:space="preserve">s </w:t>
      </w:r>
      <w:r w:rsidRPr="006944B3">
        <w:t>prácticas institucionales</w:t>
      </w:r>
      <w:r w:rsidR="00F8049A">
        <w:t>, las cuales</w:t>
      </w:r>
      <w:r w:rsidRPr="006944B3">
        <w:t xml:space="preserve"> dificultan el acceso </w:t>
      </w:r>
      <w:r w:rsidR="00F8049A">
        <w:t xml:space="preserve">de forma </w:t>
      </w:r>
      <w:r w:rsidRPr="006944B3">
        <w:t>equitativ</w:t>
      </w:r>
      <w:r w:rsidR="00F8049A">
        <w:t>a</w:t>
      </w:r>
      <w:r w:rsidRPr="006944B3">
        <w:t xml:space="preserve"> a la información pública y </w:t>
      </w:r>
      <w:r w:rsidR="00F8049A">
        <w:t>limitan</w:t>
      </w:r>
      <w:r w:rsidRPr="006944B3">
        <w:t xml:space="preserve"> la capacidad de los ciudadanos para </w:t>
      </w:r>
      <w:r w:rsidR="00F8049A">
        <w:t xml:space="preserve">poder </w:t>
      </w:r>
      <w:r w:rsidRPr="006944B3">
        <w:t>ejercer control social. A pesar de</w:t>
      </w:r>
      <w:r w:rsidR="00F8049A">
        <w:t xml:space="preserve"> los</w:t>
      </w:r>
      <w:r w:rsidRPr="006944B3">
        <w:t xml:space="preserve"> avances normativos</w:t>
      </w:r>
      <w:r w:rsidR="00F8049A">
        <w:t>, tales</w:t>
      </w:r>
      <w:r w:rsidRPr="006944B3">
        <w:t xml:space="preserve"> como la Ley 1712 de 2014, que reconoce el acceso a la información como un derecho fundamental, </w:t>
      </w:r>
      <w:r w:rsidR="00F8049A">
        <w:t xml:space="preserve">existe </w:t>
      </w:r>
      <w:r w:rsidRPr="006944B3">
        <w:t xml:space="preserve">la </w:t>
      </w:r>
      <w:r w:rsidR="00F8049A">
        <w:t>burocracia</w:t>
      </w:r>
      <w:r w:rsidRPr="006944B3">
        <w:t xml:space="preserve"> en los procesos administrativos y contractuales</w:t>
      </w:r>
      <w:r w:rsidR="00F8049A">
        <w:t xml:space="preserve"> que constituye</w:t>
      </w:r>
      <w:r w:rsidRPr="006944B3">
        <w:t xml:space="preserve"> un problema estructural [4]. De hecho,</w:t>
      </w:r>
      <w:r w:rsidR="00D45027">
        <w:t xml:space="preserve"> [5] indica que</w:t>
      </w:r>
      <w:r w:rsidRPr="006944B3">
        <w:t xml:space="preserve"> un 73% de los casos de corrupción registrados en el país </w:t>
      </w:r>
      <w:r w:rsidR="00D45027">
        <w:t>están</w:t>
      </w:r>
      <w:r w:rsidRPr="006944B3">
        <w:t xml:space="preserve"> en el sector público, </w:t>
      </w:r>
      <w:r w:rsidR="00D45027">
        <w:t>especialmente en las</w:t>
      </w:r>
      <w:r w:rsidRPr="006944B3">
        <w:t xml:space="preserve"> licitaciones y contrataciones. Esta situación </w:t>
      </w:r>
      <w:r w:rsidR="00D45027">
        <w:t>demuestra el punto de quiebre</w:t>
      </w:r>
      <w:r w:rsidRPr="006944B3">
        <w:t xml:space="preserve"> entre el discurso de modernización del Estado y la realidad operativa del aparato gubernamental.</w:t>
      </w:r>
    </w:p>
    <w:p w14:paraId="5D21CD49" w14:textId="5AEDC2BA" w:rsidR="00D474A9" w:rsidRPr="006944B3" w:rsidRDefault="00D474A9" w:rsidP="00D474A9">
      <w:pPr>
        <w:spacing w:line="276" w:lineRule="auto"/>
        <w:jc w:val="both"/>
      </w:pPr>
      <w:r w:rsidRPr="006944B3">
        <w:t xml:space="preserve">       Desde </w:t>
      </w:r>
      <w:r w:rsidR="00D45027">
        <w:t xml:space="preserve">lo </w:t>
      </w:r>
      <w:r w:rsidRPr="006944B3">
        <w:t>conceptual,</w:t>
      </w:r>
      <w:r w:rsidR="00D45027">
        <w:t xml:space="preserve"> [6] y [7] afirman que</w:t>
      </w:r>
      <w:r w:rsidRPr="006944B3">
        <w:t xml:space="preserve"> la transparencia en el sector público no se reduce a la publicación de datos, sino que implica una interacción dinámica entre las instituciones y los ciudadanos, </w:t>
      </w:r>
      <w:r w:rsidR="00E113F4">
        <w:t>con base al</w:t>
      </w:r>
      <w:r w:rsidRPr="006944B3">
        <w:t xml:space="preserve"> acceso efectivo, oportuno y comprensible a la información </w:t>
      </w:r>
      <w:r w:rsidR="00E113F4">
        <w:t>de interés</w:t>
      </w:r>
      <w:r w:rsidRPr="006944B3">
        <w:t xml:space="preserve"> para el escrutinio público. </w:t>
      </w:r>
      <w:r w:rsidR="00E113F4">
        <w:t>Según [8], e</w:t>
      </w:r>
      <w:r w:rsidRPr="006944B3">
        <w:t xml:space="preserve">n Colombia, la transparencia se articula en tres dimensiones: la claridad en la gestión pública, la rendición de cuentas y el libre acceso a la información gubernamental. </w:t>
      </w:r>
      <w:r w:rsidR="00612BA2">
        <w:t>Esto puede ser abordado a partir de m</w:t>
      </w:r>
      <w:r w:rsidRPr="006944B3">
        <w:t>odelos contemporáneos de gestión pública como el gobierno abierto y conceptos como la “transparencia por diseño”</w:t>
      </w:r>
      <w:r w:rsidR="00612BA2">
        <w:t>, los cuales</w:t>
      </w:r>
      <w:r w:rsidRPr="006944B3">
        <w:t xml:space="preserve"> </w:t>
      </w:r>
      <w:r w:rsidR="00612BA2">
        <w:t>se promueven</w:t>
      </w:r>
      <w:r w:rsidRPr="006944B3">
        <w:t xml:space="preserve"> como estrategias para incorporar estos principios </w:t>
      </w:r>
      <w:r w:rsidR="00612BA2">
        <w:t>en el</w:t>
      </w:r>
      <w:r w:rsidRPr="006944B3">
        <w:t xml:space="preserve"> diseño de los sistemas de información [9], [10].</w:t>
      </w:r>
    </w:p>
    <w:p w14:paraId="74CD47F7" w14:textId="0395F921" w:rsidR="00D474A9" w:rsidRPr="006944B3" w:rsidRDefault="00D474A9" w:rsidP="00D474A9">
      <w:pPr>
        <w:spacing w:line="276" w:lineRule="auto"/>
        <w:jc w:val="both"/>
      </w:pPr>
      <w:r w:rsidRPr="006944B3">
        <w:t xml:space="preserve">      Paralelamente, </w:t>
      </w:r>
      <w:r w:rsidR="00612BA2">
        <w:t xml:space="preserve">[11] menciona que </w:t>
      </w:r>
      <w:r w:rsidRPr="006944B3">
        <w:t>la eficiencia operativa en el sector público</w:t>
      </w:r>
      <w:r w:rsidR="00612BA2">
        <w:t xml:space="preserve">, la cual es </w:t>
      </w:r>
      <w:r w:rsidRPr="006944B3">
        <w:t>entendida como la capacidad para maximizar resultados con el uso mínimo de recursos</w:t>
      </w:r>
      <w:r w:rsidR="00612BA2">
        <w:t xml:space="preserve">, </w:t>
      </w:r>
      <w:r w:rsidRPr="006944B3">
        <w:t xml:space="preserve">continúa siendo una meta difícil de alcanzar. </w:t>
      </w:r>
      <w:r w:rsidR="00EF3C4B">
        <w:t>De acuerdo con [12] y [13], e</w:t>
      </w:r>
      <w:r w:rsidRPr="006944B3">
        <w:t>sta ineficiencia responde a deficiencias técnicas</w:t>
      </w:r>
      <w:r w:rsidR="00EF3C4B">
        <w:t xml:space="preserve"> y </w:t>
      </w:r>
      <w:r w:rsidRPr="006944B3">
        <w:t xml:space="preserve">lógicas institucionales que dificultan la asignación óptima del gasto y el monitoreo de su impacto. En este sentido, organismos multilaterales han insistido en la necesidad de repensar el diseño presupuestal, la gestión del empleo público y la compra estatal como </w:t>
      </w:r>
      <w:r w:rsidR="00EF3C4B" w:rsidRPr="006944B3">
        <w:t xml:space="preserve">componentes </w:t>
      </w:r>
      <w:r w:rsidR="00EF3C4B">
        <w:t>importantes</w:t>
      </w:r>
      <w:r w:rsidRPr="006944B3">
        <w:t xml:space="preserve"> para una administración eficaz [14].</w:t>
      </w:r>
    </w:p>
    <w:p w14:paraId="024EBA2F" w14:textId="170D130A" w:rsidR="00D474A9" w:rsidRPr="006944B3" w:rsidRDefault="00D474A9" w:rsidP="00D474A9">
      <w:pPr>
        <w:spacing w:line="276" w:lineRule="auto"/>
        <w:jc w:val="both"/>
      </w:pPr>
      <w:r w:rsidRPr="006944B3">
        <w:t xml:space="preserve">       Frente a est</w:t>
      </w:r>
      <w:r w:rsidR="00EF3C4B">
        <w:t>o</w:t>
      </w:r>
      <w:r w:rsidRPr="006944B3">
        <w:t xml:space="preserve">, </w:t>
      </w:r>
      <w:r w:rsidR="00EF3C4B">
        <w:t xml:space="preserve">se puede decir que </w:t>
      </w:r>
      <w:r w:rsidRPr="006944B3">
        <w:t xml:space="preserve">la tecnología blockchain </w:t>
      </w:r>
      <w:r w:rsidR="009676CA">
        <w:t>esta perfilada</w:t>
      </w:r>
      <w:r w:rsidRPr="006944B3">
        <w:t xml:space="preserve"> como una herramienta emergente con potencial </w:t>
      </w:r>
      <w:r w:rsidR="009676CA">
        <w:t>en la reconfiguración de</w:t>
      </w:r>
      <w:r w:rsidRPr="006944B3">
        <w:t xml:space="preserve"> los procesos administrativos tradicionales. </w:t>
      </w:r>
      <w:r w:rsidR="0014793B">
        <w:t>Esto se debe a s</w:t>
      </w:r>
      <w:r w:rsidRPr="006944B3">
        <w:t xml:space="preserve">u estructura descentralizada, segura e inmutable </w:t>
      </w:r>
      <w:r w:rsidR="0014793B">
        <w:t xml:space="preserve">que </w:t>
      </w:r>
      <w:r w:rsidRPr="006944B3">
        <w:t xml:space="preserve">permite </w:t>
      </w:r>
      <w:r w:rsidR="009676CA">
        <w:t>el registró y la verificación de las</w:t>
      </w:r>
      <w:r w:rsidRPr="006944B3">
        <w:t xml:space="preserve"> transacciones sin la necesidad de intermediarios</w:t>
      </w:r>
      <w:r w:rsidR="0014793B">
        <w:t xml:space="preserve">. Según [15] y [16], estas cualidades </w:t>
      </w:r>
      <w:r w:rsidR="000A6354">
        <w:t xml:space="preserve">de la blockchain la </w:t>
      </w:r>
      <w:r w:rsidRPr="006944B3">
        <w:t>convierte</w:t>
      </w:r>
      <w:r w:rsidR="0014793B">
        <w:t>n</w:t>
      </w:r>
      <w:r w:rsidRPr="006944B3">
        <w:t xml:space="preserve"> en una opción atractiva </w:t>
      </w:r>
      <w:r w:rsidR="000A6354">
        <w:t>en la promoción de</w:t>
      </w:r>
      <w:r w:rsidRPr="006944B3">
        <w:t xml:space="preserve"> la trazabilidad, la transparencia y la integridad de los datos públicos. </w:t>
      </w:r>
      <w:r w:rsidR="0014793B">
        <w:t>Es decir que, a</w:t>
      </w:r>
      <w:r w:rsidRPr="006944B3">
        <w:t xml:space="preserve">l operar como un libro contable distribuido y auditado colectivamente, </w:t>
      </w:r>
      <w:r w:rsidR="000A6354">
        <w:t xml:space="preserve">la </w:t>
      </w:r>
      <w:r w:rsidRPr="006944B3">
        <w:t xml:space="preserve">blockchain garantiza que la </w:t>
      </w:r>
      <w:r w:rsidRPr="006944B3">
        <w:lastRenderedPageBreak/>
        <w:t>información almacenada no pueda ser alterada de forma unilateral,</w:t>
      </w:r>
      <w:r w:rsidR="000A6354">
        <w:t xml:space="preserve"> lo cual</w:t>
      </w:r>
      <w:r w:rsidRPr="006944B3">
        <w:t xml:space="preserve"> reduc</w:t>
      </w:r>
      <w:r w:rsidR="000A6354">
        <w:t>e</w:t>
      </w:r>
      <w:r w:rsidRPr="006944B3">
        <w:t xml:space="preserve"> los márgenes para la manipulación o el fraude [17].</w:t>
      </w:r>
    </w:p>
    <w:p w14:paraId="21493C79" w14:textId="383A7EE3" w:rsidR="00D474A9" w:rsidRPr="006944B3" w:rsidRDefault="00D474A9" w:rsidP="00D474A9">
      <w:pPr>
        <w:spacing w:line="276" w:lineRule="auto"/>
        <w:jc w:val="both"/>
      </w:pPr>
      <w:r w:rsidRPr="006944B3">
        <w:t xml:space="preserve">       </w:t>
      </w:r>
      <w:r w:rsidR="0014793B">
        <w:t>Lo anterior es evidenciado a través de o</w:t>
      </w:r>
      <w:r w:rsidRPr="006944B3">
        <w:t>rganismos como la OCDE</w:t>
      </w:r>
      <w:r w:rsidR="0014793B">
        <w:t>, el cual</w:t>
      </w:r>
      <w:r w:rsidRPr="006944B3">
        <w:t xml:space="preserve"> ha documentado el uso de blockchain en proyectos gubernamentales orientados a la identidad digital, la auditoría de elecciones, el seguimiento de compras públicas y la gestión catastral, destacando su capacidad para eliminar redundancias, reducir tiempos de respuesta y empoderar a los ciudadanos [18]. </w:t>
      </w:r>
      <w:r w:rsidR="0014793B">
        <w:t xml:space="preserve">Ejemplos específicos son </w:t>
      </w:r>
      <w:r w:rsidRPr="006944B3">
        <w:t>Georgia, Estonia y Reino Unido</w:t>
      </w:r>
      <w:r w:rsidR="0014793B">
        <w:t>, los cuales</w:t>
      </w:r>
      <w:r w:rsidRPr="006944B3">
        <w:t xml:space="preserve"> </w:t>
      </w:r>
      <w:r w:rsidR="0014793B">
        <w:t>de</w:t>
      </w:r>
      <w:r w:rsidRPr="006944B3">
        <w:t>muestran que cuando se implementa con una arquitectura institucional sólida, la tecnología puede mejorar los procesos</w:t>
      </w:r>
      <w:r w:rsidR="002250C1">
        <w:t xml:space="preserve"> y </w:t>
      </w:r>
      <w:r w:rsidRPr="006944B3">
        <w:t>transformar la gobernanza estatal [19]–[21].</w:t>
      </w:r>
    </w:p>
    <w:p w14:paraId="11A1A58F" w14:textId="7654103A" w:rsidR="00D474A9" w:rsidRPr="006944B3" w:rsidRDefault="002250C1" w:rsidP="00D474A9">
      <w:pPr>
        <w:spacing w:line="276" w:lineRule="auto"/>
        <w:jc w:val="both"/>
      </w:pPr>
      <w:r>
        <w:t xml:space="preserve">       Cabe señalar </w:t>
      </w:r>
      <w:r w:rsidR="005E6E26">
        <w:t>que,</w:t>
      </w:r>
      <w:r>
        <w:t xml:space="preserve"> a pesar de </w:t>
      </w:r>
      <w:r w:rsidR="00D474A9" w:rsidRPr="006944B3">
        <w:t>este potencial, la literatura científica sobre el uso de blockchain en la administración pública sigue siendo fragmentada, exploratoria y con escasa evidencia empírica sobre su impacto real en la eficiencia y transparencia institucional [22]</w:t>
      </w:r>
      <w:r w:rsidR="005E6E26">
        <w:t>-</w:t>
      </w:r>
      <w:r w:rsidR="00D474A9" w:rsidRPr="006944B3">
        <w:t xml:space="preserve">[23]. </w:t>
      </w:r>
      <w:r w:rsidR="00A24D50">
        <w:t>Específicamente, l</w:t>
      </w:r>
      <w:r w:rsidR="00D474A9" w:rsidRPr="006944B3">
        <w:t>a mayoría de los estudios se concentran en aplicaciones privadas o en entornos controlados, dejando sin explorar los desafíos de gobernanza, interoperabilidad, protección de datos y resistencia institucional al cambio que plantea su implementación en el sector público [24].</w:t>
      </w:r>
    </w:p>
    <w:p w14:paraId="4EB369B7" w14:textId="72E76669" w:rsidR="00DC1B4F" w:rsidRPr="006944B3" w:rsidRDefault="00D474A9" w:rsidP="00D474A9">
      <w:pPr>
        <w:spacing w:line="276" w:lineRule="auto"/>
        <w:jc w:val="both"/>
      </w:pPr>
      <w:r w:rsidRPr="006944B3">
        <w:t xml:space="preserve">       En respuesta a est</w:t>
      </w:r>
      <w:r w:rsidR="00A24D50">
        <w:t>o</w:t>
      </w:r>
      <w:r w:rsidRPr="006944B3">
        <w:t xml:space="preserve">, el presente artículo </w:t>
      </w:r>
      <w:r w:rsidR="00A24D50">
        <w:t>busca ofrecer un</w:t>
      </w:r>
      <w:r w:rsidRPr="006944B3">
        <w:t xml:space="preserve"> </w:t>
      </w:r>
      <w:r w:rsidR="00A24D50">
        <w:t>análisis acerca d</w:t>
      </w:r>
      <w:r w:rsidRPr="006944B3">
        <w:t xml:space="preserve">el impacto de la tecnología blockchain en la mejora de la eficiencia operativa y la transparencia en los procesos administrativos del sector público, a partir de una revisión sistemática de literatura científica y análisis de contenido web. </w:t>
      </w:r>
      <w:r w:rsidR="008D65B0">
        <w:t>Como se podrá apreciar, el articulo</w:t>
      </w:r>
      <w:r w:rsidRPr="006944B3">
        <w:t xml:space="preserve"> aporta evidencia y marcos interpretativos que orienten la toma de decisiones en políticas públicas de transformación digital, superando las visiones tecnocráticas y avanzando hacia modelos de gobernanza más abiertos, confiables y centrados en el ciudadano.</w:t>
      </w:r>
    </w:p>
    <w:p w14:paraId="5E724A3E" w14:textId="77777777" w:rsidR="00D474A9" w:rsidRPr="006944B3" w:rsidRDefault="00D474A9" w:rsidP="00D474A9">
      <w:pPr>
        <w:spacing w:line="276" w:lineRule="auto"/>
        <w:jc w:val="both"/>
      </w:pPr>
    </w:p>
    <w:p w14:paraId="25CFDF52" w14:textId="77777777" w:rsidR="00D85CDA" w:rsidRPr="006944B3" w:rsidRDefault="00390084">
      <w:pPr>
        <w:pStyle w:val="Ttulo1"/>
        <w:numPr>
          <w:ilvl w:val="0"/>
          <w:numId w:val="2"/>
        </w:numPr>
        <w:tabs>
          <w:tab w:val="left" w:pos="639"/>
        </w:tabs>
        <w:ind w:hanging="502"/>
      </w:pPr>
      <w:bookmarkStart w:id="1" w:name="Metodología"/>
      <w:bookmarkEnd w:id="1"/>
      <w:r w:rsidRPr="006944B3">
        <w:rPr>
          <w:spacing w:val="-2"/>
        </w:rPr>
        <w:t>Metodología</w:t>
      </w:r>
    </w:p>
    <w:p w14:paraId="7EBDDF00" w14:textId="77777777" w:rsidR="009C446E" w:rsidRPr="006944B3" w:rsidRDefault="009C446E" w:rsidP="009C446E">
      <w:pPr>
        <w:pStyle w:val="Textoindependiente"/>
        <w:spacing w:line="276" w:lineRule="auto"/>
        <w:jc w:val="both"/>
      </w:pPr>
    </w:p>
    <w:p w14:paraId="30398D90" w14:textId="1A263856" w:rsidR="00BD4B4B" w:rsidRPr="006944B3" w:rsidRDefault="006B1D7D" w:rsidP="00BD4B4B">
      <w:pPr>
        <w:pStyle w:val="Textoindependiente"/>
        <w:spacing w:line="276" w:lineRule="auto"/>
        <w:jc w:val="both"/>
      </w:pPr>
      <w:r w:rsidRPr="006944B3">
        <w:t xml:space="preserve">        </w:t>
      </w:r>
      <w:r w:rsidR="00BD4B4B" w:rsidRPr="006944B3">
        <w:t>La presente investigación se desarrolló mediante un enfoque cualitativo y documental, estructurado en tres fases principales alineadas con los objetivos del estudio. Cada fase correspondió a una etapa metodológica específica: revisión bibliográfica, análisis de contenido web y redacción de un artículo publicable. Esta estructura permitió garantizar un abordaje sistemático y riguroso de la temática objeto de análisis.</w:t>
      </w:r>
    </w:p>
    <w:p w14:paraId="1913B18C" w14:textId="4B2781FD" w:rsidR="00DF6711" w:rsidRPr="006944B3" w:rsidRDefault="006B1D7D" w:rsidP="00BD4B4B">
      <w:pPr>
        <w:pStyle w:val="Textoindependiente"/>
        <w:spacing w:line="276" w:lineRule="auto"/>
        <w:jc w:val="both"/>
      </w:pPr>
      <w:r w:rsidRPr="006944B3">
        <w:t xml:space="preserve">       </w:t>
      </w:r>
      <w:r w:rsidR="00BD4B4B" w:rsidRPr="006944B3">
        <w:t xml:space="preserve">En la Tabla 1 se describen las actividades realizadas en cada fase, en correspondencia con los objetivos específicos planteados. </w:t>
      </w:r>
    </w:p>
    <w:p w14:paraId="630B9680" w14:textId="2EF93131" w:rsidR="00DF6711" w:rsidRPr="006944B3" w:rsidRDefault="00DF6711" w:rsidP="00DF6711">
      <w:pPr>
        <w:pStyle w:val="Descripcin"/>
        <w:keepNext/>
        <w:jc w:val="center"/>
        <w:rPr>
          <w:i w:val="0"/>
          <w:iCs w:val="0"/>
          <w:color w:val="auto"/>
          <w:sz w:val="20"/>
          <w:szCs w:val="20"/>
        </w:rPr>
      </w:pPr>
      <w:r w:rsidRPr="006944B3">
        <w:rPr>
          <w:b/>
          <w:bCs/>
          <w:i w:val="0"/>
          <w:iCs w:val="0"/>
          <w:color w:val="auto"/>
          <w:sz w:val="20"/>
          <w:szCs w:val="20"/>
        </w:rPr>
        <w:t xml:space="preserve">Tabla </w:t>
      </w:r>
      <w:r w:rsidRPr="006944B3">
        <w:rPr>
          <w:b/>
          <w:bCs/>
          <w:i w:val="0"/>
          <w:iCs w:val="0"/>
          <w:color w:val="auto"/>
          <w:sz w:val="20"/>
          <w:szCs w:val="20"/>
        </w:rPr>
        <w:fldChar w:fldCharType="begin"/>
      </w:r>
      <w:r w:rsidRPr="006944B3">
        <w:rPr>
          <w:b/>
          <w:bCs/>
          <w:i w:val="0"/>
          <w:iCs w:val="0"/>
          <w:color w:val="auto"/>
          <w:sz w:val="20"/>
          <w:szCs w:val="20"/>
        </w:rPr>
        <w:instrText xml:space="preserve"> SEQ Tabla \* ARABIC </w:instrText>
      </w:r>
      <w:r w:rsidRPr="006944B3">
        <w:rPr>
          <w:b/>
          <w:bCs/>
          <w:i w:val="0"/>
          <w:iCs w:val="0"/>
          <w:color w:val="auto"/>
          <w:sz w:val="20"/>
          <w:szCs w:val="20"/>
        </w:rPr>
        <w:fldChar w:fldCharType="separate"/>
      </w:r>
      <w:r w:rsidR="00B433E1">
        <w:rPr>
          <w:b/>
          <w:bCs/>
          <w:i w:val="0"/>
          <w:iCs w:val="0"/>
          <w:noProof/>
          <w:color w:val="auto"/>
          <w:sz w:val="20"/>
          <w:szCs w:val="20"/>
        </w:rPr>
        <w:t>1</w:t>
      </w:r>
      <w:r w:rsidRPr="006944B3">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Actividades realizadas en cada fase de la investigación</w:t>
      </w:r>
    </w:p>
    <w:tbl>
      <w:tblPr>
        <w:tblStyle w:val="Tablaconcuadrcula"/>
        <w:tblW w:w="0" w:type="auto"/>
        <w:tblLook w:val="04A0" w:firstRow="1" w:lastRow="0" w:firstColumn="1" w:lastColumn="0" w:noHBand="0" w:noVBand="1"/>
      </w:tblPr>
      <w:tblGrid>
        <w:gridCol w:w="3808"/>
        <w:gridCol w:w="1524"/>
        <w:gridCol w:w="3978"/>
      </w:tblGrid>
      <w:tr w:rsidR="00065CD1" w:rsidRPr="006944B3" w14:paraId="595CF916" w14:textId="77777777" w:rsidTr="00044872">
        <w:tc>
          <w:tcPr>
            <w:tcW w:w="0" w:type="auto"/>
          </w:tcPr>
          <w:p w14:paraId="36733A3C" w14:textId="638D2E10" w:rsidR="0015006A" w:rsidRPr="006944B3" w:rsidRDefault="00DF6711" w:rsidP="00044872">
            <w:pPr>
              <w:pStyle w:val="TableParagraph"/>
              <w:ind w:left="0" w:firstLine="0"/>
              <w:rPr>
                <w:b/>
                <w:bCs/>
                <w:sz w:val="18"/>
                <w:szCs w:val="18"/>
              </w:rPr>
            </w:pPr>
            <w:r w:rsidRPr="006944B3">
              <w:rPr>
                <w:b/>
                <w:bCs/>
                <w:sz w:val="18"/>
                <w:szCs w:val="18"/>
              </w:rPr>
              <w:t>OBJETIVO</w:t>
            </w:r>
          </w:p>
        </w:tc>
        <w:tc>
          <w:tcPr>
            <w:tcW w:w="0" w:type="auto"/>
          </w:tcPr>
          <w:p w14:paraId="7D8DCF7C" w14:textId="6E84A38A" w:rsidR="0015006A" w:rsidRPr="006944B3" w:rsidRDefault="00DF6711" w:rsidP="00044872">
            <w:pPr>
              <w:pStyle w:val="TableParagraph"/>
              <w:ind w:left="0" w:firstLine="0"/>
              <w:rPr>
                <w:b/>
                <w:bCs/>
                <w:sz w:val="18"/>
                <w:szCs w:val="18"/>
              </w:rPr>
            </w:pPr>
            <w:r w:rsidRPr="006944B3">
              <w:rPr>
                <w:b/>
                <w:bCs/>
                <w:sz w:val="18"/>
                <w:szCs w:val="18"/>
              </w:rPr>
              <w:t>FASE</w:t>
            </w:r>
          </w:p>
        </w:tc>
        <w:tc>
          <w:tcPr>
            <w:tcW w:w="0" w:type="auto"/>
          </w:tcPr>
          <w:p w14:paraId="445DB105" w14:textId="419FD44A" w:rsidR="0015006A" w:rsidRPr="006944B3" w:rsidRDefault="00DF6711" w:rsidP="00044872">
            <w:pPr>
              <w:pStyle w:val="TableParagraph"/>
              <w:ind w:left="0" w:firstLine="0"/>
              <w:rPr>
                <w:b/>
                <w:bCs/>
                <w:sz w:val="18"/>
                <w:szCs w:val="18"/>
              </w:rPr>
            </w:pPr>
            <w:r w:rsidRPr="006944B3">
              <w:rPr>
                <w:b/>
                <w:bCs/>
                <w:sz w:val="18"/>
                <w:szCs w:val="18"/>
              </w:rPr>
              <w:t>ACTIVIDAD</w:t>
            </w:r>
          </w:p>
        </w:tc>
      </w:tr>
      <w:tr w:rsidR="00065CD1" w:rsidRPr="006944B3" w14:paraId="5FF06590" w14:textId="77777777" w:rsidTr="00044872">
        <w:tc>
          <w:tcPr>
            <w:tcW w:w="0" w:type="auto"/>
            <w:vAlign w:val="center"/>
          </w:tcPr>
          <w:p w14:paraId="5ECCACE3" w14:textId="7648FE40" w:rsidR="0015006A" w:rsidRPr="006944B3" w:rsidRDefault="0015006A" w:rsidP="00044872">
            <w:pPr>
              <w:pStyle w:val="TableParagraph"/>
              <w:ind w:firstLine="0"/>
              <w:jc w:val="both"/>
              <w:rPr>
                <w:sz w:val="18"/>
                <w:szCs w:val="18"/>
              </w:rPr>
            </w:pPr>
            <w:bookmarkStart w:id="2" w:name="_Hlk194618058"/>
            <w:r w:rsidRPr="006944B3">
              <w:rPr>
                <w:sz w:val="18"/>
                <w:szCs w:val="18"/>
              </w:rPr>
              <w:t xml:space="preserve">Realizar una revisión bibliográfica de los documentos y artículos científicos desde una perspectiva global de la tecnología </w:t>
            </w:r>
            <w:r w:rsidRPr="006944B3">
              <w:rPr>
                <w:i/>
                <w:iCs/>
                <w:sz w:val="18"/>
                <w:szCs w:val="18"/>
              </w:rPr>
              <w:t>blockchain</w:t>
            </w:r>
            <w:r w:rsidRPr="006944B3">
              <w:rPr>
                <w:sz w:val="18"/>
                <w:szCs w:val="18"/>
              </w:rPr>
              <w:t xml:space="preserve"> en los procesos administrativos del sector público.</w:t>
            </w:r>
          </w:p>
        </w:tc>
        <w:tc>
          <w:tcPr>
            <w:tcW w:w="0" w:type="auto"/>
            <w:vAlign w:val="center"/>
          </w:tcPr>
          <w:p w14:paraId="6D116FE1" w14:textId="77777777" w:rsidR="0015006A" w:rsidRPr="006944B3" w:rsidRDefault="0015006A" w:rsidP="00044872">
            <w:pPr>
              <w:pStyle w:val="TableParagraph"/>
              <w:ind w:firstLine="0"/>
              <w:rPr>
                <w:sz w:val="18"/>
                <w:szCs w:val="18"/>
              </w:rPr>
            </w:pPr>
            <w:r w:rsidRPr="006944B3">
              <w:rPr>
                <w:sz w:val="18"/>
                <w:szCs w:val="18"/>
              </w:rPr>
              <w:t>Revisión bibliográfica</w:t>
            </w:r>
          </w:p>
        </w:tc>
        <w:tc>
          <w:tcPr>
            <w:tcW w:w="0" w:type="auto"/>
          </w:tcPr>
          <w:p w14:paraId="50FE0EC3" w14:textId="0937A35E" w:rsidR="0015006A" w:rsidRPr="006944B3" w:rsidRDefault="0015006A" w:rsidP="00044872">
            <w:pPr>
              <w:pStyle w:val="TableParagraph"/>
              <w:numPr>
                <w:ilvl w:val="0"/>
                <w:numId w:val="7"/>
              </w:numPr>
              <w:ind w:left="433"/>
              <w:jc w:val="both"/>
              <w:rPr>
                <w:rFonts w:cs="Times New Roman"/>
                <w:sz w:val="18"/>
                <w:szCs w:val="18"/>
              </w:rPr>
            </w:pPr>
            <w:r w:rsidRPr="006944B3">
              <w:rPr>
                <w:rFonts w:cs="Times New Roman"/>
                <w:sz w:val="18"/>
                <w:szCs w:val="18"/>
              </w:rPr>
              <w:t>Realizar una revisión de la literatura preliminar para identificar palabras clave</w:t>
            </w:r>
          </w:p>
          <w:p w14:paraId="3D892AC7" w14:textId="77777777" w:rsidR="0015006A" w:rsidRPr="006944B3" w:rsidRDefault="0015006A" w:rsidP="00044872">
            <w:pPr>
              <w:pStyle w:val="TableParagraph"/>
              <w:numPr>
                <w:ilvl w:val="0"/>
                <w:numId w:val="7"/>
              </w:numPr>
              <w:ind w:left="433"/>
              <w:jc w:val="both"/>
              <w:rPr>
                <w:rFonts w:cs="Times New Roman"/>
                <w:sz w:val="18"/>
                <w:szCs w:val="18"/>
              </w:rPr>
            </w:pPr>
            <w:r w:rsidRPr="006944B3">
              <w:rPr>
                <w:rFonts w:cs="Times New Roman"/>
                <w:sz w:val="18"/>
                <w:szCs w:val="18"/>
              </w:rPr>
              <w:t>Crear una ecuación de búsqueda con base en las palabras clave definidas siendo así adecuada para la investigación.</w:t>
            </w:r>
          </w:p>
          <w:p w14:paraId="523AE943" w14:textId="77777777" w:rsidR="0015006A" w:rsidRPr="006944B3" w:rsidRDefault="0015006A" w:rsidP="00044872">
            <w:pPr>
              <w:pStyle w:val="TableParagraph"/>
              <w:numPr>
                <w:ilvl w:val="0"/>
                <w:numId w:val="7"/>
              </w:numPr>
              <w:ind w:left="433"/>
              <w:jc w:val="both"/>
              <w:rPr>
                <w:rFonts w:cs="Times New Roman"/>
                <w:sz w:val="18"/>
                <w:szCs w:val="18"/>
              </w:rPr>
            </w:pPr>
            <w:r w:rsidRPr="006944B3">
              <w:rPr>
                <w:rFonts w:cs="Times New Roman"/>
                <w:sz w:val="18"/>
                <w:szCs w:val="18"/>
              </w:rPr>
              <w:t>Definir los criterios de inclusión y exclusión.</w:t>
            </w:r>
          </w:p>
          <w:p w14:paraId="3913886E" w14:textId="77777777" w:rsidR="0015006A" w:rsidRPr="006944B3" w:rsidRDefault="0015006A" w:rsidP="00044872">
            <w:pPr>
              <w:pStyle w:val="TableParagraph"/>
              <w:numPr>
                <w:ilvl w:val="0"/>
                <w:numId w:val="7"/>
              </w:numPr>
              <w:ind w:left="433"/>
              <w:jc w:val="both"/>
              <w:rPr>
                <w:rFonts w:cs="Times New Roman"/>
                <w:sz w:val="18"/>
                <w:szCs w:val="18"/>
              </w:rPr>
            </w:pPr>
            <w:r w:rsidRPr="006944B3">
              <w:rPr>
                <w:rFonts w:cs="Times New Roman"/>
                <w:sz w:val="18"/>
                <w:szCs w:val="18"/>
              </w:rPr>
              <w:t>Ejecutar la ecuación de búsqueda</w:t>
            </w:r>
          </w:p>
          <w:p w14:paraId="3D65BCAD" w14:textId="77777777" w:rsidR="0015006A" w:rsidRPr="006944B3" w:rsidRDefault="0015006A" w:rsidP="00044872">
            <w:pPr>
              <w:pStyle w:val="TableParagraph"/>
              <w:numPr>
                <w:ilvl w:val="0"/>
                <w:numId w:val="7"/>
              </w:numPr>
              <w:ind w:left="433"/>
              <w:jc w:val="both"/>
              <w:rPr>
                <w:rFonts w:cs="Times New Roman"/>
                <w:sz w:val="18"/>
                <w:szCs w:val="18"/>
              </w:rPr>
            </w:pPr>
            <w:r w:rsidRPr="006944B3">
              <w:rPr>
                <w:rFonts w:cs="Times New Roman"/>
                <w:sz w:val="18"/>
                <w:szCs w:val="18"/>
              </w:rPr>
              <w:t>Extraer y Analizar la información</w:t>
            </w:r>
          </w:p>
          <w:p w14:paraId="03041517" w14:textId="77777777" w:rsidR="0015006A" w:rsidRPr="006944B3" w:rsidRDefault="0015006A" w:rsidP="00044872">
            <w:pPr>
              <w:pStyle w:val="TableParagraph"/>
              <w:numPr>
                <w:ilvl w:val="0"/>
                <w:numId w:val="7"/>
              </w:numPr>
              <w:ind w:left="433"/>
              <w:jc w:val="both"/>
              <w:rPr>
                <w:rFonts w:cs="Times New Roman"/>
                <w:sz w:val="18"/>
                <w:szCs w:val="18"/>
              </w:rPr>
            </w:pPr>
            <w:r w:rsidRPr="006944B3">
              <w:rPr>
                <w:rFonts w:cs="Times New Roman"/>
                <w:sz w:val="18"/>
                <w:szCs w:val="18"/>
              </w:rPr>
              <w:lastRenderedPageBreak/>
              <w:t>Realizar un análisis bibliométrico para caracterizar la información consultada</w:t>
            </w:r>
          </w:p>
          <w:p w14:paraId="4EA9B778" w14:textId="77777777" w:rsidR="0015006A" w:rsidRPr="006944B3" w:rsidRDefault="0015006A" w:rsidP="00044872">
            <w:pPr>
              <w:pStyle w:val="TableParagraph"/>
              <w:numPr>
                <w:ilvl w:val="0"/>
                <w:numId w:val="7"/>
              </w:numPr>
              <w:ind w:left="433"/>
              <w:jc w:val="both"/>
              <w:rPr>
                <w:sz w:val="18"/>
                <w:szCs w:val="18"/>
              </w:rPr>
            </w:pPr>
            <w:r w:rsidRPr="006944B3">
              <w:rPr>
                <w:rFonts w:cs="Times New Roman"/>
                <w:sz w:val="18"/>
                <w:szCs w:val="18"/>
              </w:rPr>
              <w:t>Documentar los resultados encontrados.</w:t>
            </w:r>
          </w:p>
        </w:tc>
      </w:tr>
      <w:tr w:rsidR="00065CD1" w:rsidRPr="006944B3" w14:paraId="291FF33F" w14:textId="77777777" w:rsidTr="00044872">
        <w:tc>
          <w:tcPr>
            <w:tcW w:w="0" w:type="auto"/>
            <w:vAlign w:val="center"/>
          </w:tcPr>
          <w:p w14:paraId="24753688" w14:textId="00D86876" w:rsidR="0015006A" w:rsidRPr="006944B3" w:rsidRDefault="0015006A" w:rsidP="00044872">
            <w:pPr>
              <w:pStyle w:val="TableParagraph"/>
              <w:ind w:left="0" w:firstLine="0"/>
              <w:jc w:val="both"/>
              <w:rPr>
                <w:sz w:val="18"/>
                <w:szCs w:val="18"/>
              </w:rPr>
            </w:pPr>
            <w:r w:rsidRPr="006944B3">
              <w:rPr>
                <w:sz w:val="18"/>
                <w:szCs w:val="18"/>
              </w:rPr>
              <w:lastRenderedPageBreak/>
              <w:t xml:space="preserve">Realizar un análisis de contenido web para la identificación de los factores de éxito o fracaso de la implementación de la tecnología </w:t>
            </w:r>
            <w:r w:rsidRPr="006944B3">
              <w:rPr>
                <w:i/>
                <w:iCs/>
                <w:sz w:val="18"/>
                <w:szCs w:val="18"/>
              </w:rPr>
              <w:t>blockchain</w:t>
            </w:r>
            <w:r w:rsidRPr="006944B3">
              <w:rPr>
                <w:sz w:val="18"/>
                <w:szCs w:val="18"/>
              </w:rPr>
              <w:t xml:space="preserve"> en los procesos administrativos del sector público.</w:t>
            </w:r>
          </w:p>
        </w:tc>
        <w:tc>
          <w:tcPr>
            <w:tcW w:w="0" w:type="auto"/>
            <w:vAlign w:val="center"/>
          </w:tcPr>
          <w:p w14:paraId="3FB9C47E" w14:textId="77777777" w:rsidR="0015006A" w:rsidRPr="006944B3" w:rsidRDefault="0015006A" w:rsidP="00044872">
            <w:pPr>
              <w:pStyle w:val="TableParagraph"/>
              <w:ind w:left="0" w:firstLine="0"/>
              <w:rPr>
                <w:sz w:val="18"/>
                <w:szCs w:val="18"/>
              </w:rPr>
            </w:pPr>
            <w:r w:rsidRPr="006944B3">
              <w:rPr>
                <w:sz w:val="18"/>
                <w:szCs w:val="18"/>
              </w:rPr>
              <w:t>Análisis de contenido web</w:t>
            </w:r>
          </w:p>
        </w:tc>
        <w:tc>
          <w:tcPr>
            <w:tcW w:w="0" w:type="auto"/>
          </w:tcPr>
          <w:p w14:paraId="54B3DB62" w14:textId="430CC3B4" w:rsidR="0015006A" w:rsidRPr="006944B3" w:rsidRDefault="0015006A" w:rsidP="00044872">
            <w:pPr>
              <w:pStyle w:val="TableParagraph"/>
              <w:numPr>
                <w:ilvl w:val="0"/>
                <w:numId w:val="8"/>
              </w:numPr>
              <w:ind w:left="433"/>
              <w:jc w:val="both"/>
              <w:rPr>
                <w:rFonts w:cs="Times New Roman"/>
                <w:sz w:val="18"/>
                <w:szCs w:val="18"/>
              </w:rPr>
            </w:pPr>
            <w:r w:rsidRPr="006944B3">
              <w:rPr>
                <w:rFonts w:cs="Times New Roman"/>
                <w:sz w:val="18"/>
                <w:szCs w:val="18"/>
              </w:rPr>
              <w:t>Identificar fuentes primarias y secundarias confiables, como artículos científicos, informes institucionales y documentos regulatorios.</w:t>
            </w:r>
          </w:p>
          <w:p w14:paraId="12F40EA1" w14:textId="77777777" w:rsidR="0015006A" w:rsidRPr="006944B3" w:rsidRDefault="0015006A" w:rsidP="00044872">
            <w:pPr>
              <w:pStyle w:val="TableParagraph"/>
              <w:numPr>
                <w:ilvl w:val="0"/>
                <w:numId w:val="8"/>
              </w:numPr>
              <w:ind w:left="433"/>
              <w:jc w:val="both"/>
              <w:rPr>
                <w:rFonts w:cs="Times New Roman"/>
                <w:sz w:val="18"/>
                <w:szCs w:val="18"/>
              </w:rPr>
            </w:pPr>
            <w:r w:rsidRPr="006944B3">
              <w:rPr>
                <w:rFonts w:cs="Times New Roman"/>
                <w:sz w:val="18"/>
                <w:szCs w:val="18"/>
              </w:rPr>
              <w:t xml:space="preserve">Revisar estudios de casos globales sobre el uso de </w:t>
            </w:r>
            <w:r w:rsidRPr="006944B3">
              <w:rPr>
                <w:rFonts w:cs="Times New Roman"/>
                <w:i/>
                <w:iCs/>
                <w:sz w:val="18"/>
                <w:szCs w:val="18"/>
              </w:rPr>
              <w:t>blockchain</w:t>
            </w:r>
            <w:r w:rsidRPr="006944B3">
              <w:rPr>
                <w:rFonts w:cs="Times New Roman"/>
                <w:sz w:val="18"/>
                <w:szCs w:val="18"/>
              </w:rPr>
              <w:t xml:space="preserve"> en procesos administrativos.</w:t>
            </w:r>
          </w:p>
          <w:p w14:paraId="37E1E9AA" w14:textId="77777777" w:rsidR="0015006A" w:rsidRPr="006944B3" w:rsidRDefault="0015006A" w:rsidP="00044872">
            <w:pPr>
              <w:pStyle w:val="TableParagraph"/>
              <w:numPr>
                <w:ilvl w:val="0"/>
                <w:numId w:val="8"/>
              </w:numPr>
              <w:ind w:left="433"/>
              <w:jc w:val="both"/>
              <w:rPr>
                <w:rFonts w:cs="Times New Roman"/>
                <w:sz w:val="18"/>
                <w:szCs w:val="18"/>
              </w:rPr>
            </w:pPr>
            <w:r w:rsidRPr="006944B3">
              <w:rPr>
                <w:rFonts w:cs="Times New Roman"/>
                <w:sz w:val="18"/>
                <w:szCs w:val="18"/>
              </w:rPr>
              <w:t xml:space="preserve">Examinar aplicaciones específicas de </w:t>
            </w:r>
            <w:r w:rsidRPr="006944B3">
              <w:rPr>
                <w:rFonts w:cs="Times New Roman"/>
                <w:i/>
                <w:iCs/>
                <w:sz w:val="18"/>
                <w:szCs w:val="18"/>
              </w:rPr>
              <w:t>blockchain</w:t>
            </w:r>
            <w:r w:rsidRPr="006944B3">
              <w:rPr>
                <w:rFonts w:cs="Times New Roman"/>
                <w:sz w:val="18"/>
                <w:szCs w:val="18"/>
              </w:rPr>
              <w:t xml:space="preserve"> para resolver problemas como trazabilidad de documentos, seguridad de datos y automatización de tareas repetitivas.</w:t>
            </w:r>
          </w:p>
          <w:p w14:paraId="70CDFAEB" w14:textId="77777777" w:rsidR="0015006A" w:rsidRPr="006944B3" w:rsidRDefault="0015006A" w:rsidP="00044872">
            <w:pPr>
              <w:pStyle w:val="TableParagraph"/>
              <w:numPr>
                <w:ilvl w:val="0"/>
                <w:numId w:val="8"/>
              </w:numPr>
              <w:ind w:left="433"/>
              <w:jc w:val="both"/>
              <w:rPr>
                <w:rFonts w:cs="Times New Roman"/>
                <w:sz w:val="18"/>
                <w:szCs w:val="18"/>
              </w:rPr>
            </w:pPr>
            <w:r w:rsidRPr="006944B3">
              <w:rPr>
                <w:rFonts w:cs="Times New Roman"/>
                <w:sz w:val="18"/>
                <w:szCs w:val="18"/>
              </w:rPr>
              <w:t xml:space="preserve">Organizar la información recopilada en categorías clave, destacando las oportunidades de </w:t>
            </w:r>
            <w:r w:rsidRPr="006944B3">
              <w:rPr>
                <w:rFonts w:cs="Times New Roman"/>
                <w:i/>
                <w:iCs/>
                <w:sz w:val="18"/>
                <w:szCs w:val="18"/>
              </w:rPr>
              <w:t>blockchain</w:t>
            </w:r>
            <w:r w:rsidRPr="006944B3">
              <w:rPr>
                <w:rFonts w:cs="Times New Roman"/>
                <w:sz w:val="18"/>
                <w:szCs w:val="18"/>
              </w:rPr>
              <w:t xml:space="preserve"> para abordar los problemas identificados</w:t>
            </w:r>
          </w:p>
        </w:tc>
      </w:tr>
      <w:tr w:rsidR="00065CD1" w:rsidRPr="006944B3" w14:paraId="0B909B38" w14:textId="77777777" w:rsidTr="00044872">
        <w:tc>
          <w:tcPr>
            <w:tcW w:w="0" w:type="auto"/>
            <w:vAlign w:val="center"/>
          </w:tcPr>
          <w:p w14:paraId="49C384B0" w14:textId="23C3F89C" w:rsidR="0015006A" w:rsidRPr="006944B3" w:rsidRDefault="00044872" w:rsidP="00044872">
            <w:pPr>
              <w:pStyle w:val="TableParagraph"/>
              <w:ind w:firstLine="0"/>
              <w:jc w:val="both"/>
              <w:rPr>
                <w:sz w:val="18"/>
                <w:szCs w:val="18"/>
              </w:rPr>
            </w:pPr>
            <w:r w:rsidRPr="006944B3">
              <w:rPr>
                <w:sz w:val="18"/>
                <w:szCs w:val="18"/>
              </w:rPr>
              <w:t xml:space="preserve"> </w:t>
            </w:r>
            <w:r w:rsidR="0015006A" w:rsidRPr="006944B3">
              <w:rPr>
                <w:sz w:val="18"/>
                <w:szCs w:val="18"/>
              </w:rPr>
              <w:t>Elaborar un artículo de carácter publicable que presente los principales resultados obtenidos en la investigación.</w:t>
            </w:r>
          </w:p>
        </w:tc>
        <w:tc>
          <w:tcPr>
            <w:tcW w:w="0" w:type="auto"/>
            <w:vAlign w:val="center"/>
          </w:tcPr>
          <w:p w14:paraId="6CC634BE" w14:textId="77777777" w:rsidR="0015006A" w:rsidRPr="006944B3" w:rsidRDefault="0015006A" w:rsidP="00044872">
            <w:pPr>
              <w:pStyle w:val="TableParagraph"/>
              <w:ind w:firstLine="0"/>
              <w:rPr>
                <w:sz w:val="18"/>
                <w:szCs w:val="18"/>
              </w:rPr>
            </w:pPr>
            <w:r w:rsidRPr="006944B3">
              <w:rPr>
                <w:sz w:val="18"/>
                <w:szCs w:val="18"/>
              </w:rPr>
              <w:t>Redacción de un artículo publicable</w:t>
            </w:r>
          </w:p>
        </w:tc>
        <w:tc>
          <w:tcPr>
            <w:tcW w:w="0" w:type="auto"/>
          </w:tcPr>
          <w:p w14:paraId="0AE250F1" w14:textId="77777777" w:rsidR="0015006A" w:rsidRPr="006944B3" w:rsidRDefault="0015006A" w:rsidP="00044872">
            <w:pPr>
              <w:pStyle w:val="TableParagraph"/>
              <w:numPr>
                <w:ilvl w:val="0"/>
                <w:numId w:val="9"/>
              </w:numPr>
              <w:ind w:left="433"/>
              <w:jc w:val="both"/>
              <w:rPr>
                <w:rFonts w:cs="Times New Roman"/>
                <w:sz w:val="18"/>
                <w:szCs w:val="18"/>
              </w:rPr>
            </w:pPr>
            <w:r w:rsidRPr="006944B3">
              <w:rPr>
                <w:rFonts w:cs="Times New Roman"/>
                <w:sz w:val="18"/>
                <w:szCs w:val="18"/>
              </w:rPr>
              <w:t>Redactar un artículo académico que sintetice los hallazgos principales y las recomendaciones propuestas.</w:t>
            </w:r>
          </w:p>
          <w:p w14:paraId="2747E107" w14:textId="77777777" w:rsidR="0015006A" w:rsidRPr="006944B3" w:rsidRDefault="0015006A" w:rsidP="00044872">
            <w:pPr>
              <w:pStyle w:val="TableParagraph"/>
              <w:numPr>
                <w:ilvl w:val="0"/>
                <w:numId w:val="9"/>
              </w:numPr>
              <w:ind w:left="433"/>
              <w:jc w:val="both"/>
              <w:rPr>
                <w:rFonts w:cs="Times New Roman"/>
                <w:sz w:val="18"/>
                <w:szCs w:val="18"/>
              </w:rPr>
            </w:pPr>
            <w:r w:rsidRPr="006944B3">
              <w:rPr>
                <w:rFonts w:cs="Times New Roman"/>
                <w:sz w:val="18"/>
                <w:szCs w:val="18"/>
              </w:rPr>
              <w:t>Seleccionar una posible revista académica a la que se enviaría el articulo y ajustarlo según las especificaciones.</w:t>
            </w:r>
          </w:p>
        </w:tc>
      </w:tr>
    </w:tbl>
    <w:bookmarkEnd w:id="2"/>
    <w:p w14:paraId="19B852FE" w14:textId="77777777" w:rsidR="00DF6711" w:rsidRPr="006944B3" w:rsidRDefault="00DF6711" w:rsidP="00DF6711">
      <w:pPr>
        <w:spacing w:before="139"/>
        <w:ind w:left="757" w:right="730"/>
        <w:jc w:val="center"/>
      </w:pPr>
      <w:r w:rsidRPr="006944B3">
        <w:rPr>
          <w:b/>
        </w:rPr>
        <w:t>Fuente:</w:t>
      </w:r>
      <w:r w:rsidRPr="006944B3">
        <w:rPr>
          <w:b/>
          <w:spacing w:val="-9"/>
        </w:rPr>
        <w:t xml:space="preserve"> </w:t>
      </w:r>
      <w:r w:rsidRPr="006944B3">
        <w:rPr>
          <w:spacing w:val="-2"/>
        </w:rPr>
        <w:t>Autores.</w:t>
      </w:r>
    </w:p>
    <w:p w14:paraId="1D5FD54E" w14:textId="16B78CE3" w:rsidR="00BD4B4B" w:rsidRPr="006944B3" w:rsidRDefault="00BD4B4B" w:rsidP="00BD4B4B">
      <w:pPr>
        <w:pStyle w:val="Textoindependiente"/>
        <w:spacing w:line="276" w:lineRule="auto"/>
        <w:jc w:val="both"/>
      </w:pPr>
    </w:p>
    <w:p w14:paraId="5569FC01" w14:textId="74D3903F" w:rsidR="0015006A" w:rsidRPr="006944B3" w:rsidRDefault="006B1D7D" w:rsidP="00BD4B4B">
      <w:pPr>
        <w:pStyle w:val="Textoindependiente"/>
        <w:spacing w:line="276" w:lineRule="auto"/>
        <w:jc w:val="both"/>
      </w:pPr>
      <w:r w:rsidRPr="006944B3">
        <w:t xml:space="preserve">       </w:t>
      </w:r>
      <w:r w:rsidR="00BD4B4B" w:rsidRPr="006944B3">
        <w:t xml:space="preserve">La primera fase </w:t>
      </w:r>
      <w:r w:rsidR="00065CD1">
        <w:t>se realizó</w:t>
      </w:r>
      <w:r w:rsidR="00BD4B4B" w:rsidRPr="006944B3">
        <w:t xml:space="preserve"> una revisión sistemática de la literatura especializada, llevada a cabo en las bases de datos Scopus, Web of Science y Google Académico. </w:t>
      </w:r>
      <w:r w:rsidR="00065CD1">
        <w:t xml:space="preserve">Esta </w:t>
      </w:r>
      <w:r w:rsidR="00BD4B4B" w:rsidRPr="006944B3">
        <w:t>revisión se orientó a identificar investigaciones recientes, publicadas en los últimos cinco años, que abordaran el uso de tecnologías blockchain en procesos administrativos del sector público. Esta búsqueda preliminar permitió identificar las palabras clave fundamentales para estructurar la ecuación de búsqueda, las cuales se resumen en la Tabla 2.</w:t>
      </w:r>
    </w:p>
    <w:p w14:paraId="61AA5D96" w14:textId="05337D53" w:rsidR="00044872" w:rsidRPr="006944B3" w:rsidRDefault="00044872" w:rsidP="00044872">
      <w:pPr>
        <w:pStyle w:val="Descripcin"/>
        <w:keepNext/>
        <w:jc w:val="center"/>
        <w:rPr>
          <w:i w:val="0"/>
          <w:iCs w:val="0"/>
          <w:color w:val="auto"/>
          <w:sz w:val="20"/>
          <w:szCs w:val="20"/>
        </w:rPr>
      </w:pPr>
      <w:r w:rsidRPr="006944B3">
        <w:rPr>
          <w:b/>
          <w:bCs/>
          <w:i w:val="0"/>
          <w:iCs w:val="0"/>
          <w:color w:val="auto"/>
          <w:sz w:val="20"/>
          <w:szCs w:val="20"/>
        </w:rPr>
        <w:t xml:space="preserve">Tabla </w:t>
      </w:r>
      <w:r w:rsidRPr="006944B3">
        <w:rPr>
          <w:b/>
          <w:bCs/>
          <w:i w:val="0"/>
          <w:iCs w:val="0"/>
          <w:color w:val="auto"/>
          <w:sz w:val="20"/>
          <w:szCs w:val="20"/>
        </w:rPr>
        <w:fldChar w:fldCharType="begin"/>
      </w:r>
      <w:r w:rsidRPr="006944B3">
        <w:rPr>
          <w:b/>
          <w:bCs/>
          <w:i w:val="0"/>
          <w:iCs w:val="0"/>
          <w:color w:val="auto"/>
          <w:sz w:val="20"/>
          <w:szCs w:val="20"/>
        </w:rPr>
        <w:instrText xml:space="preserve"> SEQ Tabla \* ARABIC </w:instrText>
      </w:r>
      <w:r w:rsidRPr="006944B3">
        <w:rPr>
          <w:b/>
          <w:bCs/>
          <w:i w:val="0"/>
          <w:iCs w:val="0"/>
          <w:color w:val="auto"/>
          <w:sz w:val="20"/>
          <w:szCs w:val="20"/>
        </w:rPr>
        <w:fldChar w:fldCharType="separate"/>
      </w:r>
      <w:r w:rsidR="00B433E1">
        <w:rPr>
          <w:b/>
          <w:bCs/>
          <w:i w:val="0"/>
          <w:iCs w:val="0"/>
          <w:noProof/>
          <w:color w:val="auto"/>
          <w:sz w:val="20"/>
          <w:szCs w:val="20"/>
        </w:rPr>
        <w:t>2</w:t>
      </w:r>
      <w:r w:rsidRPr="006944B3">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Palabras clave identificadas en la revisión preliminar</w:t>
      </w:r>
    </w:p>
    <w:tbl>
      <w:tblPr>
        <w:tblStyle w:val="Tablaconcuadrcula"/>
        <w:tblW w:w="0" w:type="auto"/>
        <w:tblLook w:val="04A0" w:firstRow="1" w:lastRow="0" w:firstColumn="1" w:lastColumn="0" w:noHBand="0" w:noVBand="1"/>
      </w:tblPr>
      <w:tblGrid>
        <w:gridCol w:w="2441"/>
        <w:gridCol w:w="2305"/>
        <w:gridCol w:w="4564"/>
      </w:tblGrid>
      <w:tr w:rsidR="0015006A" w:rsidRPr="006944B3" w14:paraId="044A20BB" w14:textId="77777777" w:rsidTr="00044872">
        <w:tc>
          <w:tcPr>
            <w:tcW w:w="0" w:type="auto"/>
            <w:vAlign w:val="center"/>
          </w:tcPr>
          <w:p w14:paraId="5DF58F33" w14:textId="6E9A50C4" w:rsidR="0015006A" w:rsidRPr="006944B3" w:rsidRDefault="00044872" w:rsidP="00A7536F">
            <w:pPr>
              <w:pStyle w:val="TableParagraph"/>
              <w:spacing w:line="276" w:lineRule="auto"/>
              <w:ind w:firstLine="0"/>
              <w:rPr>
                <w:b/>
                <w:bCs/>
                <w:sz w:val="18"/>
                <w:szCs w:val="18"/>
              </w:rPr>
            </w:pPr>
            <w:r w:rsidRPr="006944B3">
              <w:rPr>
                <w:b/>
                <w:bCs/>
                <w:sz w:val="18"/>
                <w:szCs w:val="18"/>
              </w:rPr>
              <w:t>PALABRA CLAVE EN ESPAÑOL</w:t>
            </w:r>
          </w:p>
        </w:tc>
        <w:tc>
          <w:tcPr>
            <w:tcW w:w="0" w:type="auto"/>
            <w:vAlign w:val="center"/>
          </w:tcPr>
          <w:p w14:paraId="30837364" w14:textId="3812F7AF" w:rsidR="0015006A" w:rsidRPr="006944B3" w:rsidRDefault="00044872" w:rsidP="00A7536F">
            <w:pPr>
              <w:pStyle w:val="TableParagraph"/>
              <w:spacing w:line="276" w:lineRule="auto"/>
              <w:ind w:left="0" w:firstLine="0"/>
              <w:rPr>
                <w:b/>
                <w:bCs/>
                <w:sz w:val="18"/>
                <w:szCs w:val="18"/>
              </w:rPr>
            </w:pPr>
            <w:r w:rsidRPr="006944B3">
              <w:rPr>
                <w:b/>
                <w:bCs/>
                <w:sz w:val="18"/>
                <w:szCs w:val="18"/>
              </w:rPr>
              <w:t>PALABRA CLAVE EN INGLÉS</w:t>
            </w:r>
          </w:p>
        </w:tc>
        <w:tc>
          <w:tcPr>
            <w:tcW w:w="0" w:type="auto"/>
            <w:vAlign w:val="center"/>
          </w:tcPr>
          <w:p w14:paraId="3DEE9154" w14:textId="1442F6FC" w:rsidR="0015006A" w:rsidRPr="006944B3" w:rsidRDefault="00044872" w:rsidP="00A7536F">
            <w:pPr>
              <w:pStyle w:val="TableParagraph"/>
              <w:spacing w:line="276" w:lineRule="auto"/>
              <w:ind w:firstLine="0"/>
              <w:rPr>
                <w:b/>
                <w:bCs/>
                <w:sz w:val="18"/>
                <w:szCs w:val="18"/>
              </w:rPr>
            </w:pPr>
            <w:r w:rsidRPr="006944B3">
              <w:rPr>
                <w:b/>
                <w:bCs/>
                <w:sz w:val="18"/>
                <w:szCs w:val="18"/>
              </w:rPr>
              <w:t>TÉRMINOS RELACIONADOS</w:t>
            </w:r>
          </w:p>
        </w:tc>
      </w:tr>
      <w:tr w:rsidR="0015006A" w:rsidRPr="006944B3" w14:paraId="7DCBBEAB" w14:textId="77777777" w:rsidTr="00044872">
        <w:tc>
          <w:tcPr>
            <w:tcW w:w="0" w:type="auto"/>
            <w:vAlign w:val="center"/>
          </w:tcPr>
          <w:p w14:paraId="2AD657EA" w14:textId="77777777" w:rsidR="0015006A" w:rsidRPr="006944B3" w:rsidRDefault="0015006A" w:rsidP="00A7536F">
            <w:pPr>
              <w:pStyle w:val="TableParagraph"/>
              <w:spacing w:line="276" w:lineRule="auto"/>
              <w:ind w:firstLine="0"/>
              <w:rPr>
                <w:sz w:val="18"/>
                <w:szCs w:val="18"/>
              </w:rPr>
            </w:pPr>
            <w:r w:rsidRPr="006944B3">
              <w:rPr>
                <w:sz w:val="18"/>
                <w:szCs w:val="18"/>
              </w:rPr>
              <w:t>Blockchain</w:t>
            </w:r>
          </w:p>
        </w:tc>
        <w:tc>
          <w:tcPr>
            <w:tcW w:w="0" w:type="auto"/>
            <w:vAlign w:val="center"/>
          </w:tcPr>
          <w:p w14:paraId="7BF76566" w14:textId="77777777" w:rsidR="0015006A" w:rsidRPr="006944B3" w:rsidRDefault="0015006A" w:rsidP="00A7536F">
            <w:pPr>
              <w:pStyle w:val="TableParagraph"/>
              <w:spacing w:line="276" w:lineRule="auto"/>
              <w:ind w:firstLine="0"/>
              <w:rPr>
                <w:sz w:val="18"/>
                <w:szCs w:val="18"/>
              </w:rPr>
            </w:pPr>
            <w:r w:rsidRPr="006944B3">
              <w:rPr>
                <w:sz w:val="18"/>
                <w:szCs w:val="18"/>
              </w:rPr>
              <w:t>Blockchain</w:t>
            </w:r>
          </w:p>
        </w:tc>
        <w:tc>
          <w:tcPr>
            <w:tcW w:w="0" w:type="auto"/>
            <w:vAlign w:val="center"/>
          </w:tcPr>
          <w:p w14:paraId="5CF9FF80" w14:textId="77777777" w:rsidR="0015006A" w:rsidRPr="006944B3" w:rsidRDefault="0015006A" w:rsidP="00A7536F">
            <w:pPr>
              <w:pStyle w:val="TableParagraph"/>
              <w:spacing w:line="276" w:lineRule="auto"/>
              <w:ind w:left="0" w:firstLine="0"/>
              <w:rPr>
                <w:sz w:val="18"/>
                <w:szCs w:val="18"/>
              </w:rPr>
            </w:pPr>
            <w:r w:rsidRPr="006944B3">
              <w:rPr>
                <w:sz w:val="18"/>
                <w:szCs w:val="18"/>
              </w:rPr>
              <w:t xml:space="preserve">Cadena de bloques, </w:t>
            </w:r>
            <w:r w:rsidRPr="006944B3">
              <w:rPr>
                <w:i/>
                <w:iCs/>
                <w:sz w:val="18"/>
                <w:szCs w:val="18"/>
              </w:rPr>
              <w:t>ledger</w:t>
            </w:r>
            <w:r w:rsidRPr="006944B3">
              <w:rPr>
                <w:sz w:val="18"/>
                <w:szCs w:val="18"/>
              </w:rPr>
              <w:t xml:space="preserve"> distribuido, registro descentralizado</w:t>
            </w:r>
          </w:p>
        </w:tc>
      </w:tr>
      <w:tr w:rsidR="0015006A" w:rsidRPr="006944B3" w14:paraId="32043EED" w14:textId="77777777" w:rsidTr="00044872">
        <w:tc>
          <w:tcPr>
            <w:tcW w:w="0" w:type="auto"/>
            <w:vAlign w:val="center"/>
          </w:tcPr>
          <w:p w14:paraId="0C5E98EA" w14:textId="77777777" w:rsidR="0015006A" w:rsidRPr="006944B3" w:rsidRDefault="0015006A" w:rsidP="00A7536F">
            <w:pPr>
              <w:pStyle w:val="TableParagraph"/>
              <w:spacing w:line="276" w:lineRule="auto"/>
              <w:ind w:firstLine="0"/>
              <w:rPr>
                <w:sz w:val="18"/>
                <w:szCs w:val="18"/>
              </w:rPr>
            </w:pPr>
            <w:r w:rsidRPr="006944B3">
              <w:rPr>
                <w:sz w:val="18"/>
                <w:szCs w:val="18"/>
              </w:rPr>
              <w:t>Mejora</w:t>
            </w:r>
          </w:p>
        </w:tc>
        <w:tc>
          <w:tcPr>
            <w:tcW w:w="0" w:type="auto"/>
            <w:vAlign w:val="center"/>
          </w:tcPr>
          <w:p w14:paraId="241D06FA" w14:textId="77777777" w:rsidR="0015006A" w:rsidRPr="006944B3" w:rsidRDefault="0015006A" w:rsidP="00A7536F">
            <w:pPr>
              <w:pStyle w:val="TableParagraph"/>
              <w:spacing w:line="276" w:lineRule="auto"/>
              <w:ind w:left="0" w:firstLine="0"/>
              <w:rPr>
                <w:sz w:val="18"/>
                <w:szCs w:val="18"/>
              </w:rPr>
            </w:pPr>
            <w:r w:rsidRPr="006944B3">
              <w:rPr>
                <w:sz w:val="18"/>
                <w:szCs w:val="18"/>
              </w:rPr>
              <w:t>Improvement</w:t>
            </w:r>
          </w:p>
        </w:tc>
        <w:tc>
          <w:tcPr>
            <w:tcW w:w="0" w:type="auto"/>
            <w:vAlign w:val="center"/>
          </w:tcPr>
          <w:p w14:paraId="08A1609E" w14:textId="77777777" w:rsidR="0015006A" w:rsidRPr="006944B3" w:rsidRDefault="0015006A" w:rsidP="00A7536F">
            <w:pPr>
              <w:pStyle w:val="TableParagraph"/>
              <w:spacing w:line="276" w:lineRule="auto"/>
              <w:ind w:left="0" w:firstLine="0"/>
              <w:rPr>
                <w:sz w:val="18"/>
                <w:szCs w:val="18"/>
              </w:rPr>
            </w:pPr>
            <w:r w:rsidRPr="006944B3">
              <w:rPr>
                <w:sz w:val="18"/>
                <w:szCs w:val="18"/>
              </w:rPr>
              <w:t>Optimización, perfeccionamiento, refinamiento</w:t>
            </w:r>
          </w:p>
        </w:tc>
      </w:tr>
      <w:tr w:rsidR="0015006A" w:rsidRPr="006944B3" w14:paraId="0B9185FC" w14:textId="77777777" w:rsidTr="00044872">
        <w:tc>
          <w:tcPr>
            <w:tcW w:w="0" w:type="auto"/>
            <w:vAlign w:val="center"/>
          </w:tcPr>
          <w:p w14:paraId="67EEE668" w14:textId="77777777" w:rsidR="0015006A" w:rsidRPr="006944B3" w:rsidRDefault="0015006A" w:rsidP="00A7536F">
            <w:pPr>
              <w:pStyle w:val="TableParagraph"/>
              <w:spacing w:line="276" w:lineRule="auto"/>
              <w:ind w:firstLine="0"/>
              <w:rPr>
                <w:sz w:val="18"/>
                <w:szCs w:val="18"/>
              </w:rPr>
            </w:pPr>
            <w:r w:rsidRPr="006944B3">
              <w:rPr>
                <w:sz w:val="18"/>
                <w:szCs w:val="18"/>
              </w:rPr>
              <w:t>Impacto</w:t>
            </w:r>
          </w:p>
        </w:tc>
        <w:tc>
          <w:tcPr>
            <w:tcW w:w="0" w:type="auto"/>
            <w:vAlign w:val="center"/>
          </w:tcPr>
          <w:p w14:paraId="530A1B97" w14:textId="77777777" w:rsidR="0015006A" w:rsidRPr="006944B3" w:rsidRDefault="0015006A" w:rsidP="00A7536F">
            <w:pPr>
              <w:pStyle w:val="TableParagraph"/>
              <w:spacing w:line="276" w:lineRule="auto"/>
              <w:ind w:firstLine="0"/>
              <w:rPr>
                <w:sz w:val="18"/>
                <w:szCs w:val="18"/>
              </w:rPr>
            </w:pPr>
            <w:r w:rsidRPr="006944B3">
              <w:rPr>
                <w:sz w:val="18"/>
                <w:szCs w:val="18"/>
              </w:rPr>
              <w:t>Impact</w:t>
            </w:r>
          </w:p>
        </w:tc>
        <w:tc>
          <w:tcPr>
            <w:tcW w:w="0" w:type="auto"/>
            <w:vAlign w:val="center"/>
          </w:tcPr>
          <w:p w14:paraId="45D15AB4" w14:textId="77777777" w:rsidR="0015006A" w:rsidRPr="006944B3" w:rsidRDefault="0015006A" w:rsidP="00A7536F">
            <w:pPr>
              <w:pStyle w:val="TableParagraph"/>
              <w:spacing w:line="276" w:lineRule="auto"/>
              <w:ind w:left="0" w:firstLine="0"/>
              <w:rPr>
                <w:sz w:val="18"/>
                <w:szCs w:val="18"/>
              </w:rPr>
            </w:pPr>
            <w:r w:rsidRPr="006944B3">
              <w:rPr>
                <w:sz w:val="18"/>
                <w:szCs w:val="18"/>
              </w:rPr>
              <w:t>Efecto, influencia, consecuencia</w:t>
            </w:r>
          </w:p>
        </w:tc>
      </w:tr>
      <w:tr w:rsidR="0015006A" w:rsidRPr="006944B3" w14:paraId="2DE53A8F" w14:textId="77777777" w:rsidTr="00044872">
        <w:tc>
          <w:tcPr>
            <w:tcW w:w="0" w:type="auto"/>
            <w:vAlign w:val="center"/>
          </w:tcPr>
          <w:p w14:paraId="68CDB8CF" w14:textId="77777777" w:rsidR="0015006A" w:rsidRPr="006944B3" w:rsidRDefault="0015006A" w:rsidP="00A7536F">
            <w:pPr>
              <w:pStyle w:val="TableParagraph"/>
              <w:spacing w:line="276" w:lineRule="auto"/>
              <w:ind w:firstLine="0"/>
              <w:rPr>
                <w:sz w:val="18"/>
                <w:szCs w:val="18"/>
              </w:rPr>
            </w:pPr>
            <w:r w:rsidRPr="006944B3">
              <w:rPr>
                <w:sz w:val="18"/>
                <w:szCs w:val="18"/>
              </w:rPr>
              <w:t>Sector público</w:t>
            </w:r>
          </w:p>
        </w:tc>
        <w:tc>
          <w:tcPr>
            <w:tcW w:w="0" w:type="auto"/>
            <w:vAlign w:val="center"/>
          </w:tcPr>
          <w:p w14:paraId="3737DA1B" w14:textId="77777777" w:rsidR="0015006A" w:rsidRPr="006944B3" w:rsidRDefault="0015006A" w:rsidP="00A7536F">
            <w:pPr>
              <w:pStyle w:val="TableParagraph"/>
              <w:spacing w:line="276" w:lineRule="auto"/>
              <w:ind w:firstLine="0"/>
              <w:rPr>
                <w:sz w:val="18"/>
                <w:szCs w:val="18"/>
              </w:rPr>
            </w:pPr>
            <w:r w:rsidRPr="006944B3">
              <w:rPr>
                <w:sz w:val="18"/>
                <w:szCs w:val="18"/>
              </w:rPr>
              <w:t>Public sector</w:t>
            </w:r>
          </w:p>
        </w:tc>
        <w:tc>
          <w:tcPr>
            <w:tcW w:w="0" w:type="auto"/>
            <w:vAlign w:val="center"/>
          </w:tcPr>
          <w:p w14:paraId="74B70FC7" w14:textId="77777777" w:rsidR="0015006A" w:rsidRPr="006944B3" w:rsidRDefault="0015006A" w:rsidP="00A7536F">
            <w:pPr>
              <w:pStyle w:val="TableParagraph"/>
              <w:spacing w:line="276" w:lineRule="auto"/>
              <w:ind w:firstLine="0"/>
              <w:rPr>
                <w:sz w:val="18"/>
                <w:szCs w:val="18"/>
              </w:rPr>
            </w:pPr>
            <w:r w:rsidRPr="006944B3">
              <w:rPr>
                <w:sz w:val="18"/>
                <w:szCs w:val="18"/>
              </w:rPr>
              <w:t>Administración pública, servicios estatales, organismos gubernamentales</w:t>
            </w:r>
          </w:p>
        </w:tc>
      </w:tr>
      <w:tr w:rsidR="0015006A" w:rsidRPr="006944B3" w14:paraId="6A69A0B5" w14:textId="77777777" w:rsidTr="00044872">
        <w:tc>
          <w:tcPr>
            <w:tcW w:w="0" w:type="auto"/>
            <w:vAlign w:val="center"/>
          </w:tcPr>
          <w:p w14:paraId="4E043DC4" w14:textId="77777777" w:rsidR="0015006A" w:rsidRPr="006944B3" w:rsidRDefault="0015006A" w:rsidP="00A7536F">
            <w:pPr>
              <w:pStyle w:val="TableParagraph"/>
              <w:spacing w:line="276" w:lineRule="auto"/>
              <w:ind w:firstLine="0"/>
              <w:rPr>
                <w:sz w:val="18"/>
                <w:szCs w:val="18"/>
              </w:rPr>
            </w:pPr>
            <w:r w:rsidRPr="006944B3">
              <w:rPr>
                <w:sz w:val="18"/>
                <w:szCs w:val="18"/>
              </w:rPr>
              <w:t>Gobierno</w:t>
            </w:r>
          </w:p>
        </w:tc>
        <w:tc>
          <w:tcPr>
            <w:tcW w:w="0" w:type="auto"/>
            <w:vAlign w:val="center"/>
          </w:tcPr>
          <w:p w14:paraId="13C25C6D" w14:textId="77777777" w:rsidR="0015006A" w:rsidRPr="006944B3" w:rsidRDefault="0015006A" w:rsidP="00A7536F">
            <w:pPr>
              <w:pStyle w:val="TableParagraph"/>
              <w:spacing w:line="276" w:lineRule="auto"/>
              <w:ind w:firstLine="0"/>
              <w:rPr>
                <w:sz w:val="18"/>
                <w:szCs w:val="18"/>
              </w:rPr>
            </w:pPr>
            <w:r w:rsidRPr="006944B3">
              <w:rPr>
                <w:sz w:val="18"/>
                <w:szCs w:val="18"/>
              </w:rPr>
              <w:t>Government</w:t>
            </w:r>
          </w:p>
        </w:tc>
        <w:tc>
          <w:tcPr>
            <w:tcW w:w="0" w:type="auto"/>
            <w:vAlign w:val="center"/>
          </w:tcPr>
          <w:p w14:paraId="22607B5F" w14:textId="77777777" w:rsidR="0015006A" w:rsidRPr="006944B3" w:rsidRDefault="0015006A" w:rsidP="00A7536F">
            <w:pPr>
              <w:pStyle w:val="TableParagraph"/>
              <w:spacing w:line="276" w:lineRule="auto"/>
              <w:ind w:firstLine="0"/>
              <w:rPr>
                <w:sz w:val="18"/>
                <w:szCs w:val="18"/>
              </w:rPr>
            </w:pPr>
            <w:r w:rsidRPr="006944B3">
              <w:rPr>
                <w:sz w:val="18"/>
                <w:szCs w:val="18"/>
              </w:rPr>
              <w:t>Administración, entidad estatal, autoridad</w:t>
            </w:r>
          </w:p>
        </w:tc>
      </w:tr>
      <w:tr w:rsidR="0015006A" w:rsidRPr="006944B3" w14:paraId="2E1A3FBD" w14:textId="77777777" w:rsidTr="00044872">
        <w:tc>
          <w:tcPr>
            <w:tcW w:w="0" w:type="auto"/>
            <w:vAlign w:val="center"/>
          </w:tcPr>
          <w:p w14:paraId="71473E9B" w14:textId="77777777" w:rsidR="0015006A" w:rsidRPr="006944B3" w:rsidRDefault="0015006A" w:rsidP="00A7536F">
            <w:pPr>
              <w:pStyle w:val="TableParagraph"/>
              <w:spacing w:line="276" w:lineRule="auto"/>
              <w:ind w:firstLine="0"/>
              <w:rPr>
                <w:sz w:val="18"/>
                <w:szCs w:val="18"/>
              </w:rPr>
            </w:pPr>
            <w:r w:rsidRPr="006944B3">
              <w:rPr>
                <w:sz w:val="18"/>
                <w:szCs w:val="18"/>
              </w:rPr>
              <w:t>Eficiencia</w:t>
            </w:r>
          </w:p>
        </w:tc>
        <w:tc>
          <w:tcPr>
            <w:tcW w:w="0" w:type="auto"/>
            <w:vAlign w:val="center"/>
          </w:tcPr>
          <w:p w14:paraId="5539AE01" w14:textId="77777777" w:rsidR="0015006A" w:rsidRPr="006944B3" w:rsidRDefault="0015006A" w:rsidP="00A7536F">
            <w:pPr>
              <w:pStyle w:val="TableParagraph"/>
              <w:spacing w:line="276" w:lineRule="auto"/>
              <w:ind w:left="0" w:firstLine="0"/>
              <w:rPr>
                <w:sz w:val="18"/>
                <w:szCs w:val="18"/>
              </w:rPr>
            </w:pPr>
            <w:r w:rsidRPr="006944B3">
              <w:rPr>
                <w:sz w:val="18"/>
                <w:szCs w:val="18"/>
              </w:rPr>
              <w:t>Efficiency</w:t>
            </w:r>
          </w:p>
        </w:tc>
        <w:tc>
          <w:tcPr>
            <w:tcW w:w="0" w:type="auto"/>
            <w:vAlign w:val="center"/>
          </w:tcPr>
          <w:p w14:paraId="20D53335" w14:textId="77777777" w:rsidR="0015006A" w:rsidRPr="006944B3" w:rsidRDefault="0015006A" w:rsidP="00A7536F">
            <w:pPr>
              <w:pStyle w:val="TableParagraph"/>
              <w:spacing w:line="276" w:lineRule="auto"/>
              <w:ind w:left="0" w:firstLine="0"/>
              <w:rPr>
                <w:sz w:val="18"/>
                <w:szCs w:val="18"/>
              </w:rPr>
            </w:pPr>
            <w:r w:rsidRPr="006944B3">
              <w:rPr>
                <w:sz w:val="18"/>
                <w:szCs w:val="18"/>
              </w:rPr>
              <w:t>Productividad, rendimiento, efectividad</w:t>
            </w:r>
          </w:p>
        </w:tc>
      </w:tr>
      <w:tr w:rsidR="0015006A" w:rsidRPr="006944B3" w14:paraId="11EADEE4" w14:textId="77777777" w:rsidTr="00044872">
        <w:tc>
          <w:tcPr>
            <w:tcW w:w="0" w:type="auto"/>
            <w:vAlign w:val="center"/>
          </w:tcPr>
          <w:p w14:paraId="400BF413" w14:textId="77777777" w:rsidR="0015006A" w:rsidRPr="006944B3" w:rsidRDefault="0015006A" w:rsidP="00A7536F">
            <w:pPr>
              <w:pStyle w:val="TableParagraph"/>
              <w:spacing w:line="276" w:lineRule="auto"/>
              <w:ind w:firstLine="0"/>
              <w:rPr>
                <w:sz w:val="18"/>
                <w:szCs w:val="18"/>
              </w:rPr>
            </w:pPr>
            <w:r w:rsidRPr="006944B3">
              <w:rPr>
                <w:sz w:val="18"/>
                <w:szCs w:val="18"/>
              </w:rPr>
              <w:t>Transparencia</w:t>
            </w:r>
          </w:p>
        </w:tc>
        <w:tc>
          <w:tcPr>
            <w:tcW w:w="0" w:type="auto"/>
            <w:vAlign w:val="center"/>
          </w:tcPr>
          <w:p w14:paraId="259F6282" w14:textId="77777777" w:rsidR="0015006A" w:rsidRPr="006944B3" w:rsidRDefault="0015006A" w:rsidP="00A7536F">
            <w:pPr>
              <w:pStyle w:val="TableParagraph"/>
              <w:spacing w:line="276" w:lineRule="auto"/>
              <w:ind w:left="0" w:firstLine="0"/>
              <w:rPr>
                <w:sz w:val="18"/>
                <w:szCs w:val="18"/>
              </w:rPr>
            </w:pPr>
            <w:r w:rsidRPr="006944B3">
              <w:rPr>
                <w:sz w:val="18"/>
                <w:szCs w:val="18"/>
              </w:rPr>
              <w:t>Transparency</w:t>
            </w:r>
          </w:p>
        </w:tc>
        <w:tc>
          <w:tcPr>
            <w:tcW w:w="0" w:type="auto"/>
            <w:vAlign w:val="center"/>
          </w:tcPr>
          <w:p w14:paraId="6E92D463" w14:textId="77777777" w:rsidR="0015006A" w:rsidRPr="006944B3" w:rsidRDefault="0015006A" w:rsidP="00A7536F">
            <w:pPr>
              <w:pStyle w:val="TableParagraph"/>
              <w:spacing w:line="276" w:lineRule="auto"/>
              <w:ind w:left="0" w:firstLine="0"/>
              <w:rPr>
                <w:sz w:val="18"/>
                <w:szCs w:val="18"/>
              </w:rPr>
            </w:pPr>
            <w:r w:rsidRPr="006944B3">
              <w:rPr>
                <w:sz w:val="18"/>
                <w:szCs w:val="18"/>
              </w:rPr>
              <w:t>Claridad, apertura, rendición de cuentas</w:t>
            </w:r>
          </w:p>
        </w:tc>
      </w:tr>
    </w:tbl>
    <w:p w14:paraId="6E67F2B6" w14:textId="24D7272E" w:rsidR="00044872" w:rsidRPr="006944B3" w:rsidRDefault="00044872" w:rsidP="00044872">
      <w:pPr>
        <w:spacing w:before="139" w:after="240"/>
        <w:ind w:left="757" w:right="730"/>
        <w:jc w:val="center"/>
        <w:rPr>
          <w:spacing w:val="-2"/>
        </w:rPr>
      </w:pPr>
      <w:r w:rsidRPr="006944B3">
        <w:rPr>
          <w:b/>
        </w:rPr>
        <w:t>Fuente:</w:t>
      </w:r>
      <w:r w:rsidRPr="006944B3">
        <w:rPr>
          <w:b/>
          <w:spacing w:val="-9"/>
        </w:rPr>
        <w:t xml:space="preserve"> </w:t>
      </w:r>
      <w:r w:rsidRPr="006944B3">
        <w:rPr>
          <w:spacing w:val="-2"/>
        </w:rPr>
        <w:t>Autores.</w:t>
      </w:r>
    </w:p>
    <w:p w14:paraId="478DCA0F" w14:textId="6088C281" w:rsidR="00BD4B4B" w:rsidRPr="006944B3" w:rsidRDefault="006B1D7D" w:rsidP="00BD4B4B">
      <w:pPr>
        <w:pStyle w:val="Textoindependiente"/>
        <w:spacing w:line="276" w:lineRule="auto"/>
        <w:jc w:val="both"/>
        <w:rPr>
          <w:lang w:val="en-GB"/>
        </w:rPr>
      </w:pPr>
      <w:r w:rsidRPr="006944B3">
        <w:t xml:space="preserve">       </w:t>
      </w:r>
      <w:r w:rsidR="00BD4B4B" w:rsidRPr="006944B3">
        <w:t xml:space="preserve">A partir de estas palabras clave, se construyó una ecuación de búsqueda preliminar, que posteriormente fue ajustada para mejorar la pertinencia de los resultados en las bases de datos </w:t>
      </w:r>
      <w:r w:rsidR="00BD4B4B" w:rsidRPr="006944B3">
        <w:lastRenderedPageBreak/>
        <w:t xml:space="preserve">académicas. </w:t>
      </w:r>
      <w:r w:rsidR="00BD4B4B" w:rsidRPr="006944B3">
        <w:rPr>
          <w:lang w:val="en-GB"/>
        </w:rPr>
        <w:t>Las ecuaciones utilizadas fueron:</w:t>
      </w:r>
    </w:p>
    <w:p w14:paraId="258D7080" w14:textId="77777777" w:rsidR="00BD4B4B" w:rsidRPr="006944B3" w:rsidRDefault="00BD4B4B" w:rsidP="001B6C80">
      <w:pPr>
        <w:pStyle w:val="Textoindependiente"/>
        <w:spacing w:line="276" w:lineRule="auto"/>
        <w:rPr>
          <w:lang w:val="en-GB"/>
        </w:rPr>
      </w:pPr>
      <w:r w:rsidRPr="006944B3">
        <w:rPr>
          <w:lang w:val="en-GB"/>
        </w:rPr>
        <w:t>Ecuación preliminar:</w:t>
      </w:r>
      <w:r w:rsidRPr="006944B3">
        <w:rPr>
          <w:lang w:val="en-GB"/>
        </w:rPr>
        <w:br/>
        <w:t>("blockchain" AND ("improvement" OR "impact") AND ("public sector" OR "government")) AND ("efficiency" OR "transparency")</w:t>
      </w:r>
    </w:p>
    <w:p w14:paraId="3E21AA2E" w14:textId="77777777" w:rsidR="00BD4B4B" w:rsidRPr="006944B3" w:rsidRDefault="00BD4B4B" w:rsidP="001B6C80">
      <w:pPr>
        <w:pStyle w:val="Textoindependiente"/>
        <w:spacing w:line="276" w:lineRule="auto"/>
        <w:rPr>
          <w:lang w:val="en-GB"/>
        </w:rPr>
      </w:pPr>
      <w:r w:rsidRPr="006944B3">
        <w:rPr>
          <w:lang w:val="en-GB"/>
        </w:rPr>
        <w:t>Ecuación depurada:</w:t>
      </w:r>
      <w:r w:rsidRPr="006944B3">
        <w:rPr>
          <w:lang w:val="en-GB"/>
        </w:rPr>
        <w:br/>
        <w:t>blockchain AND (public AND sector OR government) AND (efficiency OR transparency)</w:t>
      </w:r>
    </w:p>
    <w:p w14:paraId="43DBAD07" w14:textId="6A502B26" w:rsidR="0015006A" w:rsidRPr="006944B3" w:rsidRDefault="006B1D7D" w:rsidP="00BD4B4B">
      <w:pPr>
        <w:pStyle w:val="Textoindependiente"/>
        <w:spacing w:line="276" w:lineRule="auto"/>
        <w:jc w:val="both"/>
      </w:pPr>
      <w:r w:rsidRPr="00B433E1">
        <w:rPr>
          <w:lang w:val="en-GB"/>
        </w:rPr>
        <w:t xml:space="preserve">        </w:t>
      </w:r>
      <w:r w:rsidR="00BD4B4B" w:rsidRPr="006944B3">
        <w:t>Posteriormente, se aplicaron criterios de inclusión y exclusión con el fin de filtrar los documentos más relevantes. Estos criterios se presentan en la Tabla 3.</w:t>
      </w:r>
    </w:p>
    <w:p w14:paraId="0FBB00F5" w14:textId="098C0BA2" w:rsidR="00044872" w:rsidRPr="006944B3" w:rsidRDefault="00044872" w:rsidP="00044872">
      <w:pPr>
        <w:pStyle w:val="Descripcin"/>
        <w:keepNext/>
        <w:spacing w:before="240"/>
        <w:jc w:val="center"/>
        <w:rPr>
          <w:i w:val="0"/>
          <w:iCs w:val="0"/>
          <w:color w:val="auto"/>
          <w:sz w:val="20"/>
          <w:szCs w:val="20"/>
        </w:rPr>
      </w:pPr>
      <w:r w:rsidRPr="006944B3">
        <w:rPr>
          <w:b/>
          <w:bCs/>
          <w:i w:val="0"/>
          <w:iCs w:val="0"/>
          <w:color w:val="auto"/>
          <w:sz w:val="20"/>
          <w:szCs w:val="20"/>
        </w:rPr>
        <w:t xml:space="preserve">Tabla </w:t>
      </w:r>
      <w:r w:rsidRPr="006944B3">
        <w:rPr>
          <w:b/>
          <w:bCs/>
          <w:i w:val="0"/>
          <w:iCs w:val="0"/>
          <w:color w:val="auto"/>
          <w:sz w:val="20"/>
          <w:szCs w:val="20"/>
        </w:rPr>
        <w:fldChar w:fldCharType="begin"/>
      </w:r>
      <w:r w:rsidRPr="006944B3">
        <w:rPr>
          <w:b/>
          <w:bCs/>
          <w:i w:val="0"/>
          <w:iCs w:val="0"/>
          <w:color w:val="auto"/>
          <w:sz w:val="20"/>
          <w:szCs w:val="20"/>
        </w:rPr>
        <w:instrText xml:space="preserve"> SEQ Tabla \* ARABIC </w:instrText>
      </w:r>
      <w:r w:rsidRPr="006944B3">
        <w:rPr>
          <w:b/>
          <w:bCs/>
          <w:i w:val="0"/>
          <w:iCs w:val="0"/>
          <w:color w:val="auto"/>
          <w:sz w:val="20"/>
          <w:szCs w:val="20"/>
        </w:rPr>
        <w:fldChar w:fldCharType="separate"/>
      </w:r>
      <w:r w:rsidR="00B433E1">
        <w:rPr>
          <w:b/>
          <w:bCs/>
          <w:i w:val="0"/>
          <w:iCs w:val="0"/>
          <w:noProof/>
          <w:color w:val="auto"/>
          <w:sz w:val="20"/>
          <w:szCs w:val="20"/>
        </w:rPr>
        <w:t>3</w:t>
      </w:r>
      <w:r w:rsidRPr="006944B3">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Criterios de inclusión y exclusión definidos para esta revisión</w:t>
      </w:r>
    </w:p>
    <w:tbl>
      <w:tblPr>
        <w:tblStyle w:val="Tablaconcuadrcula"/>
        <w:tblW w:w="0" w:type="auto"/>
        <w:tblLook w:val="04A0" w:firstRow="1" w:lastRow="0" w:firstColumn="1" w:lastColumn="0" w:noHBand="0" w:noVBand="1"/>
      </w:tblPr>
      <w:tblGrid>
        <w:gridCol w:w="4748"/>
        <w:gridCol w:w="4562"/>
      </w:tblGrid>
      <w:tr w:rsidR="0015006A" w:rsidRPr="006944B3" w14:paraId="4105A4FE" w14:textId="77777777" w:rsidTr="00A450CD">
        <w:tc>
          <w:tcPr>
            <w:tcW w:w="0" w:type="auto"/>
            <w:vAlign w:val="center"/>
          </w:tcPr>
          <w:p w14:paraId="5D89C201" w14:textId="7D189459" w:rsidR="0015006A" w:rsidRPr="006944B3" w:rsidRDefault="00044872" w:rsidP="00044872">
            <w:pPr>
              <w:pStyle w:val="TableParagraph"/>
              <w:spacing w:line="276" w:lineRule="auto"/>
              <w:ind w:left="0" w:firstLine="0"/>
              <w:rPr>
                <w:b/>
                <w:bCs/>
                <w:sz w:val="18"/>
                <w:szCs w:val="18"/>
              </w:rPr>
            </w:pPr>
            <w:r w:rsidRPr="006944B3">
              <w:rPr>
                <w:b/>
                <w:bCs/>
                <w:sz w:val="18"/>
                <w:szCs w:val="18"/>
              </w:rPr>
              <w:t>CRITERIO DE INCLUSIÓN</w:t>
            </w:r>
          </w:p>
        </w:tc>
        <w:tc>
          <w:tcPr>
            <w:tcW w:w="0" w:type="auto"/>
            <w:vAlign w:val="center"/>
          </w:tcPr>
          <w:p w14:paraId="08E47FC0" w14:textId="250CB6B2" w:rsidR="0015006A" w:rsidRPr="006944B3" w:rsidRDefault="00044872" w:rsidP="00044872">
            <w:pPr>
              <w:pStyle w:val="TableParagraph"/>
              <w:spacing w:line="276" w:lineRule="auto"/>
              <w:ind w:left="0" w:firstLine="0"/>
              <w:rPr>
                <w:b/>
                <w:bCs/>
                <w:sz w:val="18"/>
                <w:szCs w:val="18"/>
              </w:rPr>
            </w:pPr>
            <w:r w:rsidRPr="006944B3">
              <w:rPr>
                <w:b/>
                <w:bCs/>
                <w:sz w:val="18"/>
                <w:szCs w:val="18"/>
              </w:rPr>
              <w:t>CRITERIO DE EXCLUSIÓN</w:t>
            </w:r>
          </w:p>
        </w:tc>
      </w:tr>
      <w:tr w:rsidR="0015006A" w:rsidRPr="006944B3" w14:paraId="7B054074" w14:textId="77777777" w:rsidTr="00A450CD">
        <w:tc>
          <w:tcPr>
            <w:tcW w:w="0" w:type="auto"/>
          </w:tcPr>
          <w:p w14:paraId="10977F9D" w14:textId="3ED1D73A" w:rsidR="0015006A" w:rsidRPr="006944B3" w:rsidRDefault="0015006A" w:rsidP="00044872">
            <w:pPr>
              <w:pStyle w:val="TableParagraph"/>
              <w:spacing w:line="276" w:lineRule="auto"/>
              <w:ind w:left="0" w:firstLine="0"/>
              <w:jc w:val="both"/>
              <w:rPr>
                <w:sz w:val="18"/>
                <w:szCs w:val="18"/>
              </w:rPr>
            </w:pPr>
            <w:r w:rsidRPr="006944B3">
              <w:rPr>
                <w:sz w:val="18"/>
                <w:szCs w:val="18"/>
              </w:rPr>
              <w:t>Documentos publicados en un rango de tiempo no mayor a 5 años.</w:t>
            </w:r>
          </w:p>
        </w:tc>
        <w:tc>
          <w:tcPr>
            <w:tcW w:w="0" w:type="auto"/>
          </w:tcPr>
          <w:p w14:paraId="1F076D9F" w14:textId="77777777" w:rsidR="0015006A" w:rsidRPr="006944B3" w:rsidRDefault="0015006A" w:rsidP="00044872">
            <w:pPr>
              <w:pStyle w:val="TableParagraph"/>
              <w:spacing w:line="276" w:lineRule="auto"/>
              <w:ind w:left="0" w:firstLine="0"/>
              <w:jc w:val="both"/>
              <w:rPr>
                <w:sz w:val="18"/>
                <w:szCs w:val="18"/>
              </w:rPr>
            </w:pPr>
            <w:r w:rsidRPr="006944B3">
              <w:rPr>
                <w:sz w:val="18"/>
                <w:szCs w:val="18"/>
              </w:rPr>
              <w:t>Documentos con fecha de publicación anterior al año 2020.</w:t>
            </w:r>
          </w:p>
        </w:tc>
      </w:tr>
      <w:tr w:rsidR="0015006A" w:rsidRPr="006944B3" w14:paraId="36EC3BFB" w14:textId="77777777" w:rsidTr="00A450CD">
        <w:tc>
          <w:tcPr>
            <w:tcW w:w="0" w:type="auto"/>
          </w:tcPr>
          <w:p w14:paraId="13869E3A" w14:textId="7D3CB14B" w:rsidR="0015006A" w:rsidRPr="006944B3" w:rsidRDefault="00044872" w:rsidP="00044872">
            <w:pPr>
              <w:pStyle w:val="TableParagraph"/>
              <w:spacing w:line="276" w:lineRule="auto"/>
              <w:ind w:left="0" w:firstLine="0"/>
              <w:jc w:val="both"/>
              <w:rPr>
                <w:sz w:val="18"/>
                <w:szCs w:val="18"/>
              </w:rPr>
            </w:pPr>
            <w:r w:rsidRPr="006944B3">
              <w:rPr>
                <w:sz w:val="18"/>
                <w:szCs w:val="18"/>
              </w:rPr>
              <w:t xml:space="preserve"> </w:t>
            </w:r>
            <w:r w:rsidR="0015006A" w:rsidRPr="006944B3">
              <w:rPr>
                <w:sz w:val="18"/>
                <w:szCs w:val="18"/>
              </w:rPr>
              <w:t>Documentos en español o inglés.</w:t>
            </w:r>
          </w:p>
        </w:tc>
        <w:tc>
          <w:tcPr>
            <w:tcW w:w="0" w:type="auto"/>
          </w:tcPr>
          <w:p w14:paraId="2E70C2C1" w14:textId="77777777" w:rsidR="0015006A" w:rsidRPr="006944B3" w:rsidRDefault="0015006A" w:rsidP="00044872">
            <w:pPr>
              <w:pStyle w:val="TableParagraph"/>
              <w:spacing w:line="276" w:lineRule="auto"/>
              <w:ind w:firstLine="0"/>
              <w:jc w:val="both"/>
              <w:rPr>
                <w:sz w:val="18"/>
                <w:szCs w:val="18"/>
              </w:rPr>
            </w:pPr>
            <w:r w:rsidRPr="006944B3">
              <w:rPr>
                <w:sz w:val="18"/>
                <w:szCs w:val="18"/>
              </w:rPr>
              <w:t>Documentos cuyo idioma de publicación no corresponda ni a español ni a inglés</w:t>
            </w:r>
          </w:p>
        </w:tc>
      </w:tr>
      <w:tr w:rsidR="0015006A" w:rsidRPr="006944B3" w14:paraId="7210809E" w14:textId="77777777" w:rsidTr="00A450CD">
        <w:tc>
          <w:tcPr>
            <w:tcW w:w="0" w:type="auto"/>
          </w:tcPr>
          <w:p w14:paraId="1FC5EC2B" w14:textId="77777777" w:rsidR="0015006A" w:rsidRPr="006944B3" w:rsidRDefault="0015006A" w:rsidP="00044872">
            <w:pPr>
              <w:pStyle w:val="TableParagraph"/>
              <w:spacing w:line="276" w:lineRule="auto"/>
              <w:ind w:firstLine="0"/>
              <w:jc w:val="both"/>
              <w:rPr>
                <w:sz w:val="18"/>
                <w:szCs w:val="18"/>
              </w:rPr>
            </w:pPr>
            <w:r w:rsidRPr="006944B3">
              <w:rPr>
                <w:sz w:val="18"/>
                <w:szCs w:val="18"/>
              </w:rPr>
              <w:t xml:space="preserve">Documentos con acceso abierto </w:t>
            </w:r>
          </w:p>
        </w:tc>
        <w:tc>
          <w:tcPr>
            <w:tcW w:w="0" w:type="auto"/>
          </w:tcPr>
          <w:p w14:paraId="0701FB40" w14:textId="77777777" w:rsidR="0015006A" w:rsidRPr="006944B3" w:rsidRDefault="0015006A" w:rsidP="00044872">
            <w:pPr>
              <w:pStyle w:val="TableParagraph"/>
              <w:spacing w:line="276" w:lineRule="auto"/>
              <w:ind w:firstLine="0"/>
              <w:jc w:val="both"/>
              <w:rPr>
                <w:sz w:val="18"/>
                <w:szCs w:val="18"/>
              </w:rPr>
            </w:pPr>
            <w:r w:rsidRPr="006944B3">
              <w:rPr>
                <w:sz w:val="18"/>
                <w:szCs w:val="18"/>
              </w:rPr>
              <w:t xml:space="preserve">Documentos que solo permiten visualizar el </w:t>
            </w:r>
            <w:r w:rsidRPr="006944B3">
              <w:rPr>
                <w:i/>
                <w:iCs/>
                <w:sz w:val="18"/>
                <w:szCs w:val="18"/>
              </w:rPr>
              <w:t>abstract</w:t>
            </w:r>
            <w:r w:rsidRPr="006944B3">
              <w:rPr>
                <w:sz w:val="18"/>
                <w:szCs w:val="18"/>
              </w:rPr>
              <w:t>/resumen</w:t>
            </w:r>
          </w:p>
        </w:tc>
      </w:tr>
      <w:tr w:rsidR="0015006A" w:rsidRPr="006944B3" w14:paraId="2B597EB5" w14:textId="77777777" w:rsidTr="00A450CD">
        <w:tc>
          <w:tcPr>
            <w:tcW w:w="0" w:type="auto"/>
          </w:tcPr>
          <w:p w14:paraId="7E231A57" w14:textId="77777777" w:rsidR="0015006A" w:rsidRPr="006944B3" w:rsidRDefault="0015006A" w:rsidP="00044872">
            <w:pPr>
              <w:pStyle w:val="TableParagraph"/>
              <w:spacing w:line="276" w:lineRule="auto"/>
              <w:ind w:firstLine="0"/>
              <w:jc w:val="both"/>
              <w:rPr>
                <w:sz w:val="18"/>
                <w:szCs w:val="18"/>
              </w:rPr>
            </w:pPr>
            <w:r w:rsidRPr="006944B3">
              <w:rPr>
                <w:sz w:val="18"/>
                <w:szCs w:val="18"/>
              </w:rPr>
              <w:t xml:space="preserve">Documentos centrados en la aplicación de tecnologías </w:t>
            </w:r>
            <w:r w:rsidRPr="006944B3">
              <w:rPr>
                <w:i/>
                <w:iCs/>
                <w:sz w:val="18"/>
                <w:szCs w:val="18"/>
              </w:rPr>
              <w:t>blockchain</w:t>
            </w:r>
            <w:r w:rsidRPr="006944B3">
              <w:rPr>
                <w:sz w:val="18"/>
                <w:szCs w:val="18"/>
              </w:rPr>
              <w:t xml:space="preserve"> en el sector público </w:t>
            </w:r>
          </w:p>
        </w:tc>
        <w:tc>
          <w:tcPr>
            <w:tcW w:w="0" w:type="auto"/>
          </w:tcPr>
          <w:p w14:paraId="23B68001" w14:textId="77777777" w:rsidR="0015006A" w:rsidRPr="006944B3" w:rsidRDefault="0015006A" w:rsidP="00044872">
            <w:pPr>
              <w:pStyle w:val="TableParagraph"/>
              <w:spacing w:line="276" w:lineRule="auto"/>
              <w:ind w:left="0" w:firstLine="0"/>
              <w:jc w:val="both"/>
              <w:rPr>
                <w:sz w:val="18"/>
                <w:szCs w:val="18"/>
              </w:rPr>
            </w:pPr>
            <w:r w:rsidRPr="006944B3">
              <w:rPr>
                <w:sz w:val="18"/>
                <w:szCs w:val="18"/>
              </w:rPr>
              <w:t>Documentos que no abordan la aplicación de esta tecnología en un contexto relevante para esta investigación, es decir en el sector público.</w:t>
            </w:r>
          </w:p>
        </w:tc>
      </w:tr>
      <w:tr w:rsidR="0015006A" w:rsidRPr="006944B3" w14:paraId="73FB188F" w14:textId="77777777" w:rsidTr="00A450CD">
        <w:tc>
          <w:tcPr>
            <w:tcW w:w="0" w:type="auto"/>
          </w:tcPr>
          <w:p w14:paraId="235E9F27" w14:textId="77777777" w:rsidR="0015006A" w:rsidRPr="006944B3" w:rsidRDefault="0015006A" w:rsidP="00044872">
            <w:pPr>
              <w:pStyle w:val="TableParagraph"/>
              <w:spacing w:line="276" w:lineRule="auto"/>
              <w:ind w:left="0" w:firstLine="0"/>
              <w:jc w:val="both"/>
              <w:rPr>
                <w:sz w:val="18"/>
                <w:szCs w:val="18"/>
              </w:rPr>
            </w:pPr>
            <w:r w:rsidRPr="006944B3">
              <w:rPr>
                <w:sz w:val="18"/>
                <w:szCs w:val="18"/>
              </w:rPr>
              <w:t xml:space="preserve">Documentos que presenten estudios de caso sobre la implementación </w:t>
            </w:r>
            <w:r w:rsidRPr="006944B3">
              <w:rPr>
                <w:i/>
                <w:iCs/>
                <w:sz w:val="18"/>
                <w:szCs w:val="18"/>
              </w:rPr>
              <w:t>blockchain</w:t>
            </w:r>
            <w:r w:rsidRPr="006944B3">
              <w:rPr>
                <w:sz w:val="18"/>
                <w:szCs w:val="18"/>
              </w:rPr>
              <w:t xml:space="preserve"> en procesos administrativos del sector público.</w:t>
            </w:r>
          </w:p>
        </w:tc>
        <w:tc>
          <w:tcPr>
            <w:tcW w:w="0" w:type="auto"/>
          </w:tcPr>
          <w:p w14:paraId="000C53E5" w14:textId="77777777" w:rsidR="0015006A" w:rsidRPr="006944B3" w:rsidRDefault="0015006A" w:rsidP="00044872">
            <w:pPr>
              <w:pStyle w:val="TableParagraph"/>
              <w:spacing w:line="276" w:lineRule="auto"/>
              <w:ind w:left="0" w:firstLine="0"/>
              <w:jc w:val="both"/>
              <w:rPr>
                <w:sz w:val="18"/>
                <w:szCs w:val="18"/>
              </w:rPr>
            </w:pPr>
            <w:r w:rsidRPr="006944B3">
              <w:rPr>
                <w:sz w:val="18"/>
                <w:szCs w:val="18"/>
              </w:rPr>
              <w:t>Documentos que no planteen estudios de caso relacionados con la implementación de esta tecnología en los procesos administrativos del sector público.</w:t>
            </w:r>
          </w:p>
        </w:tc>
      </w:tr>
      <w:tr w:rsidR="0015006A" w:rsidRPr="006944B3" w14:paraId="0F2DD293" w14:textId="77777777" w:rsidTr="00A450CD">
        <w:tc>
          <w:tcPr>
            <w:tcW w:w="0" w:type="auto"/>
          </w:tcPr>
          <w:p w14:paraId="02EA11C7" w14:textId="77777777" w:rsidR="0015006A" w:rsidRPr="006944B3" w:rsidRDefault="0015006A" w:rsidP="00044872">
            <w:pPr>
              <w:pStyle w:val="TableParagraph"/>
              <w:spacing w:line="276" w:lineRule="auto"/>
              <w:ind w:left="0" w:firstLine="0"/>
              <w:jc w:val="both"/>
              <w:rPr>
                <w:sz w:val="18"/>
                <w:szCs w:val="18"/>
              </w:rPr>
            </w:pPr>
            <w:r w:rsidRPr="006944B3">
              <w:rPr>
                <w:sz w:val="18"/>
                <w:szCs w:val="18"/>
              </w:rPr>
              <w:t xml:space="preserve">Documentos que estudien las aplicaciones específicas de </w:t>
            </w:r>
            <w:r w:rsidRPr="006944B3">
              <w:rPr>
                <w:i/>
                <w:iCs/>
                <w:sz w:val="18"/>
                <w:szCs w:val="18"/>
              </w:rPr>
              <w:t>blockchain</w:t>
            </w:r>
            <w:r w:rsidRPr="006944B3">
              <w:rPr>
                <w:sz w:val="18"/>
                <w:szCs w:val="18"/>
              </w:rPr>
              <w:t xml:space="preserve"> en el sector público como trazabilidad de documentos, seguridad de los datos y automatización de tareas repetitivas</w:t>
            </w:r>
          </w:p>
        </w:tc>
        <w:tc>
          <w:tcPr>
            <w:tcW w:w="0" w:type="auto"/>
          </w:tcPr>
          <w:p w14:paraId="68B8A8BA" w14:textId="77777777" w:rsidR="0015006A" w:rsidRPr="006944B3" w:rsidRDefault="0015006A" w:rsidP="00044872">
            <w:pPr>
              <w:pStyle w:val="TableParagraph"/>
              <w:spacing w:line="276" w:lineRule="auto"/>
              <w:ind w:left="0" w:firstLine="0"/>
              <w:jc w:val="both"/>
              <w:rPr>
                <w:sz w:val="18"/>
                <w:szCs w:val="18"/>
              </w:rPr>
            </w:pPr>
            <w:r w:rsidRPr="006944B3">
              <w:rPr>
                <w:sz w:val="18"/>
                <w:szCs w:val="18"/>
              </w:rPr>
              <w:t xml:space="preserve">Documentos que no aborden de manera específica aplicaciones </w:t>
            </w:r>
            <w:r w:rsidRPr="006944B3">
              <w:rPr>
                <w:i/>
                <w:iCs/>
                <w:sz w:val="18"/>
                <w:szCs w:val="18"/>
              </w:rPr>
              <w:t>blockchain</w:t>
            </w:r>
            <w:r w:rsidRPr="006944B3">
              <w:rPr>
                <w:sz w:val="18"/>
                <w:szCs w:val="18"/>
              </w:rPr>
              <w:t xml:space="preserve"> en el sector público.</w:t>
            </w:r>
          </w:p>
        </w:tc>
      </w:tr>
      <w:tr w:rsidR="0015006A" w:rsidRPr="006944B3" w14:paraId="686BC597" w14:textId="77777777" w:rsidTr="00A450CD">
        <w:tc>
          <w:tcPr>
            <w:tcW w:w="0" w:type="auto"/>
          </w:tcPr>
          <w:p w14:paraId="6BF40434" w14:textId="77777777" w:rsidR="0015006A" w:rsidRPr="006944B3" w:rsidRDefault="0015006A" w:rsidP="00044872">
            <w:pPr>
              <w:pStyle w:val="TableParagraph"/>
              <w:spacing w:line="276" w:lineRule="auto"/>
              <w:ind w:firstLine="0"/>
              <w:jc w:val="both"/>
              <w:rPr>
                <w:sz w:val="18"/>
                <w:szCs w:val="18"/>
              </w:rPr>
            </w:pPr>
            <w:r w:rsidRPr="006944B3">
              <w:rPr>
                <w:sz w:val="18"/>
                <w:szCs w:val="18"/>
              </w:rPr>
              <w:t xml:space="preserve">Documentos que aborden las oportunidades y desafíos de la aplicación de tecnologías </w:t>
            </w:r>
            <w:r w:rsidRPr="006944B3">
              <w:rPr>
                <w:i/>
                <w:iCs/>
                <w:sz w:val="18"/>
                <w:szCs w:val="18"/>
              </w:rPr>
              <w:t>blockchain</w:t>
            </w:r>
            <w:r w:rsidRPr="006944B3">
              <w:rPr>
                <w:sz w:val="18"/>
                <w:szCs w:val="18"/>
              </w:rPr>
              <w:t xml:space="preserve"> en el sector público tanto en la eficiencia operativa como en la transparencia.</w:t>
            </w:r>
          </w:p>
        </w:tc>
        <w:tc>
          <w:tcPr>
            <w:tcW w:w="0" w:type="auto"/>
          </w:tcPr>
          <w:p w14:paraId="0B521E94" w14:textId="77777777" w:rsidR="0015006A" w:rsidRPr="006944B3" w:rsidRDefault="0015006A" w:rsidP="00044872">
            <w:pPr>
              <w:pStyle w:val="TableParagraph"/>
              <w:spacing w:line="276" w:lineRule="auto"/>
              <w:ind w:left="0" w:firstLine="0"/>
              <w:jc w:val="both"/>
              <w:rPr>
                <w:sz w:val="18"/>
                <w:szCs w:val="18"/>
              </w:rPr>
            </w:pPr>
            <w:r w:rsidRPr="006944B3">
              <w:rPr>
                <w:sz w:val="18"/>
                <w:szCs w:val="18"/>
              </w:rPr>
              <w:t xml:space="preserve">Documentos que no presenten desafíos y oportunidades derivados de la aplicación </w:t>
            </w:r>
            <w:r w:rsidRPr="006944B3">
              <w:rPr>
                <w:i/>
                <w:iCs/>
                <w:sz w:val="18"/>
                <w:szCs w:val="18"/>
              </w:rPr>
              <w:t>blockchain</w:t>
            </w:r>
            <w:r w:rsidRPr="006944B3">
              <w:rPr>
                <w:sz w:val="18"/>
                <w:szCs w:val="18"/>
              </w:rPr>
              <w:t xml:space="preserve"> en el sector público, especialmente en la transparencia y eficiencia operativa.</w:t>
            </w:r>
          </w:p>
        </w:tc>
      </w:tr>
    </w:tbl>
    <w:p w14:paraId="555356D9" w14:textId="7B416D39" w:rsidR="00BD4B4B" w:rsidRPr="006944B3" w:rsidRDefault="00A450CD" w:rsidP="00A450CD">
      <w:pPr>
        <w:spacing w:before="139" w:after="240"/>
        <w:ind w:left="757" w:right="730"/>
        <w:jc w:val="center"/>
        <w:rPr>
          <w:spacing w:val="-2"/>
        </w:rPr>
      </w:pPr>
      <w:r w:rsidRPr="006944B3">
        <w:rPr>
          <w:b/>
        </w:rPr>
        <w:t>Fuente:</w:t>
      </w:r>
      <w:r w:rsidRPr="006944B3">
        <w:rPr>
          <w:b/>
          <w:spacing w:val="-9"/>
        </w:rPr>
        <w:t xml:space="preserve"> </w:t>
      </w:r>
      <w:r w:rsidRPr="006944B3">
        <w:rPr>
          <w:spacing w:val="-2"/>
        </w:rPr>
        <w:t>Autores.</w:t>
      </w:r>
    </w:p>
    <w:p w14:paraId="793796F9" w14:textId="705213C7" w:rsidR="00BD4B4B" w:rsidRPr="006944B3" w:rsidRDefault="006B1D7D" w:rsidP="00BD4B4B">
      <w:pPr>
        <w:pStyle w:val="Textoindependiente"/>
        <w:spacing w:line="276" w:lineRule="auto"/>
        <w:jc w:val="both"/>
      </w:pPr>
      <w:r w:rsidRPr="006944B3">
        <w:t xml:space="preserve">       </w:t>
      </w:r>
      <w:r w:rsidR="00BD4B4B" w:rsidRPr="006944B3">
        <w:t>Adicionalmente, se realizó un análisis bibliométrico con el software VOSviewer</w:t>
      </w:r>
      <w:r w:rsidR="001B6C80">
        <w:t xml:space="preserve"> que</w:t>
      </w:r>
      <w:r w:rsidR="00BD4B4B" w:rsidRPr="006944B3">
        <w:t xml:space="preserve"> permitió identificar redes de coautoría, coocurrencia de palabras clave y otras métricas </w:t>
      </w:r>
      <w:r w:rsidR="001B6C80">
        <w:t>importantes</w:t>
      </w:r>
      <w:r w:rsidR="00BD4B4B" w:rsidRPr="006944B3">
        <w:t>, que fueron analizadas</w:t>
      </w:r>
      <w:r w:rsidR="001B6C80">
        <w:t xml:space="preserve"> con detalle</w:t>
      </w:r>
      <w:r w:rsidR="00BD4B4B" w:rsidRPr="006944B3">
        <w:t xml:space="preserve">. </w:t>
      </w:r>
      <w:r w:rsidR="001B6C80">
        <w:t>Por otro lado, e</w:t>
      </w:r>
      <w:r w:rsidR="00BD4B4B" w:rsidRPr="006944B3">
        <w:t xml:space="preserve">ste análisis permitió </w:t>
      </w:r>
      <w:r w:rsidR="001B6C80">
        <w:t xml:space="preserve">la </w:t>
      </w:r>
      <w:r w:rsidR="00BD4B4B" w:rsidRPr="006944B3">
        <w:t>caracteriza</w:t>
      </w:r>
      <w:r w:rsidR="001B6C80">
        <w:t>ción</w:t>
      </w:r>
      <w:r w:rsidR="00BD4B4B" w:rsidRPr="006944B3">
        <w:t xml:space="preserve"> </w:t>
      </w:r>
      <w:r w:rsidR="001B6C80">
        <w:t>acerca d</w:t>
      </w:r>
      <w:r w:rsidR="00BD4B4B" w:rsidRPr="006944B3">
        <w:t xml:space="preserve">el panorama académico actual </w:t>
      </w:r>
      <w:r w:rsidR="001B6C80">
        <w:t>de</w:t>
      </w:r>
      <w:r w:rsidR="00BD4B4B" w:rsidRPr="006944B3">
        <w:t xml:space="preserve"> la aplicación de blockchain en el sector público.</w:t>
      </w:r>
    </w:p>
    <w:p w14:paraId="14961C62" w14:textId="1F228D26" w:rsidR="00BD4B4B" w:rsidRPr="006944B3" w:rsidRDefault="006B1D7D" w:rsidP="00BD4B4B">
      <w:pPr>
        <w:pStyle w:val="Textoindependiente"/>
        <w:spacing w:line="276" w:lineRule="auto"/>
        <w:jc w:val="both"/>
      </w:pPr>
      <w:r w:rsidRPr="006944B3">
        <w:t xml:space="preserve">       </w:t>
      </w:r>
      <w:r w:rsidR="001B6C80">
        <w:t>En</w:t>
      </w:r>
      <w:r w:rsidR="000962B4">
        <w:t xml:space="preserve"> </w:t>
      </w:r>
      <w:r w:rsidR="001B6C80">
        <w:t>l</w:t>
      </w:r>
      <w:r w:rsidR="00BD4B4B" w:rsidRPr="006944B3">
        <w:t>a segunda fase</w:t>
      </w:r>
      <w:r w:rsidR="000962B4">
        <w:t xml:space="preserve"> se realizó un análisis</w:t>
      </w:r>
      <w:r w:rsidR="00BD4B4B" w:rsidRPr="006944B3">
        <w:t xml:space="preserve"> de</w:t>
      </w:r>
      <w:r w:rsidR="000962B4">
        <w:t>l</w:t>
      </w:r>
      <w:r w:rsidR="00BD4B4B" w:rsidRPr="006944B3">
        <w:t xml:space="preserve"> contenido web, </w:t>
      </w:r>
      <w:r w:rsidR="000962B4">
        <w:t>considerando</w:t>
      </w:r>
      <w:r w:rsidR="00BD4B4B" w:rsidRPr="006944B3">
        <w:t xml:space="preserve"> documentos institucionales, normativas y estudios de caso publicados en sitios oficiales o repositorios confiables. </w:t>
      </w:r>
      <w:r w:rsidR="000962B4">
        <w:t xml:space="preserve">Luego, esta </w:t>
      </w:r>
      <w:r w:rsidR="00BD4B4B" w:rsidRPr="006944B3">
        <w:t xml:space="preserve">información </w:t>
      </w:r>
      <w:r w:rsidR="000962B4">
        <w:t>se organizó</w:t>
      </w:r>
      <w:r w:rsidR="00BD4B4B" w:rsidRPr="006944B3">
        <w:t xml:space="preserve"> inicialmente en una hoja de cálculo, clasificando los documentos según su tipo (científico, regulatorio o institucional) y su </w:t>
      </w:r>
      <w:r w:rsidR="000962B4">
        <w:t>tema central</w:t>
      </w:r>
      <w:r w:rsidR="00BD4B4B" w:rsidRPr="006944B3">
        <w:t>.</w:t>
      </w:r>
    </w:p>
    <w:p w14:paraId="67114EDB" w14:textId="6A682273" w:rsidR="00BD4B4B" w:rsidRPr="006944B3" w:rsidRDefault="006B1D7D" w:rsidP="00BD4B4B">
      <w:pPr>
        <w:pStyle w:val="Textoindependiente"/>
        <w:spacing w:line="276" w:lineRule="auto"/>
        <w:jc w:val="both"/>
      </w:pPr>
      <w:r w:rsidRPr="006944B3">
        <w:t xml:space="preserve">       </w:t>
      </w:r>
      <w:r w:rsidR="00BD4B4B" w:rsidRPr="006944B3">
        <w:t>Posteriormente, se seleccion</w:t>
      </w:r>
      <w:r w:rsidR="000962B4">
        <w:t>ó</w:t>
      </w:r>
      <w:r w:rsidR="00BD4B4B" w:rsidRPr="006944B3">
        <w:t xml:space="preserve"> estudios de caso detallados sobre la implementación de tecnologías blockchain en diversas entidades gubernamentales, los cuales fueron tabulados considerando el contexto, metodología y resultados obtenidos. Esta sistematización permitió realizar comparaciones entre casos y detectar patrones comunes </w:t>
      </w:r>
      <w:r w:rsidR="000962B4">
        <w:t>con relación</w:t>
      </w:r>
      <w:r w:rsidR="00BD4B4B" w:rsidRPr="006944B3">
        <w:t xml:space="preserve"> al uso de blockchain</w:t>
      </w:r>
      <w:r w:rsidR="000962B4">
        <w:t xml:space="preserve"> en el ámbito de</w:t>
      </w:r>
      <w:r w:rsidR="00BD4B4B" w:rsidRPr="006944B3">
        <w:t xml:space="preserve"> la trazabilidad de documentos, la seguridad de datos y la automatización de </w:t>
      </w:r>
      <w:r w:rsidR="00BD4B4B" w:rsidRPr="006944B3">
        <w:lastRenderedPageBreak/>
        <w:t>procesos.</w:t>
      </w:r>
      <w:r w:rsidR="000962B4">
        <w:t xml:space="preserve"> </w:t>
      </w:r>
      <w:r w:rsidR="001474B5">
        <w:t xml:space="preserve">Por otra parte, en </w:t>
      </w:r>
      <w:r w:rsidR="00BD4B4B" w:rsidRPr="006944B3">
        <w:t xml:space="preserve">el análisis comparativo, la información </w:t>
      </w:r>
      <w:r w:rsidR="001474B5">
        <w:t>se organizó</w:t>
      </w:r>
      <w:r w:rsidR="00BD4B4B" w:rsidRPr="006944B3">
        <w:t xml:space="preserve"> en una matriz temática por categorías, </w:t>
      </w:r>
      <w:r w:rsidR="001474B5">
        <w:t>para identificar</w:t>
      </w:r>
      <w:r w:rsidR="00BD4B4B" w:rsidRPr="006944B3">
        <w:t xml:space="preserve"> oportunidades, limitaciones y áreas de mejora en la adopción de blockchain. Este proceso sirvió como insumo para la interpretación de los resultados presentados en las secciones posteriores.</w:t>
      </w:r>
    </w:p>
    <w:p w14:paraId="18225E4C" w14:textId="7F193867" w:rsidR="00D85CDA" w:rsidRPr="006944B3" w:rsidRDefault="006B1D7D" w:rsidP="00A450CD">
      <w:pPr>
        <w:pStyle w:val="Textoindependiente"/>
        <w:spacing w:line="276" w:lineRule="auto"/>
        <w:jc w:val="both"/>
      </w:pPr>
      <w:r w:rsidRPr="006944B3">
        <w:t xml:space="preserve">       </w:t>
      </w:r>
      <w:r w:rsidR="001474B5">
        <w:t>Por último, en l</w:t>
      </w:r>
      <w:r w:rsidR="00BD4B4B" w:rsidRPr="006944B3">
        <w:t xml:space="preserve">a tercera fase </w:t>
      </w:r>
      <w:r w:rsidR="00BA6869">
        <w:t>se realizó</w:t>
      </w:r>
      <w:r w:rsidR="00BD4B4B" w:rsidRPr="006944B3">
        <w:t xml:space="preserve"> la redacción de </w:t>
      </w:r>
      <w:r w:rsidR="00BA6869">
        <w:t>este</w:t>
      </w:r>
      <w:r w:rsidR="00BD4B4B" w:rsidRPr="006944B3">
        <w:t xml:space="preserve"> artículo </w:t>
      </w:r>
      <w:r w:rsidR="00BA6869">
        <w:t>de revisión</w:t>
      </w:r>
      <w:r w:rsidR="00BD4B4B" w:rsidRPr="006944B3">
        <w:t>,</w:t>
      </w:r>
      <w:r w:rsidR="00BA6869">
        <w:t xml:space="preserve"> el cual se construyó</w:t>
      </w:r>
      <w:r w:rsidR="00BD4B4B" w:rsidRPr="006944B3">
        <w:t xml:space="preserve"> a partir del análisis integral de los hallazgos de las fases anteriores. Este documento se estructuró con base en las normas editoriales de </w:t>
      </w:r>
      <w:r w:rsidR="00E22139">
        <w:t>la revista Tecnura que</w:t>
      </w:r>
      <w:r w:rsidR="00CE3411">
        <w:t xml:space="preserve">, </w:t>
      </w:r>
      <w:r w:rsidR="00E22139">
        <w:t xml:space="preserve">permite la publicación de los temas relacionados con </w:t>
      </w:r>
      <w:r w:rsidR="00CE3411">
        <w:t>avances y desarrollos tecnológicos</w:t>
      </w:r>
      <w:r w:rsidR="00BD4B4B" w:rsidRPr="006944B3">
        <w:t xml:space="preserve"> en</w:t>
      </w:r>
      <w:r w:rsidR="00CE3411">
        <w:t xml:space="preserve"> el área de la ingeniería aplicado a la sociedad y la cultura.</w:t>
      </w:r>
      <w:r w:rsidR="00BD4B4B" w:rsidRPr="006944B3">
        <w:t xml:space="preserve"> </w:t>
      </w:r>
      <w:r w:rsidR="00CE3411">
        <w:t>En este ejercicio</w:t>
      </w:r>
      <w:r w:rsidR="00BD4B4B" w:rsidRPr="006944B3">
        <w:t xml:space="preserve">, se </w:t>
      </w:r>
      <w:r w:rsidR="00CE3411">
        <w:t>revisó</w:t>
      </w:r>
      <w:r w:rsidR="00BD4B4B" w:rsidRPr="006944B3">
        <w:t xml:space="preserve"> sus directrices y se adaptó el manuscrito a los requisitos de estilo y estructura exigidos</w:t>
      </w:r>
      <w:r w:rsidR="00CE3411">
        <w:t xml:space="preserve"> por la revista y de acuerdo a la plantilla en Word</w:t>
      </w:r>
      <w:r w:rsidR="00BD4B4B" w:rsidRPr="006944B3">
        <w:t xml:space="preserve">. </w:t>
      </w:r>
      <w:r w:rsidR="00CE3411">
        <w:t>Como se puede apreciar, en dicha plantilla</w:t>
      </w:r>
      <w:r w:rsidR="00BD4B4B" w:rsidRPr="006944B3">
        <w:t xml:space="preserve"> </w:t>
      </w:r>
      <w:r w:rsidR="00CE3411">
        <w:t>se sintetizó</w:t>
      </w:r>
      <w:r w:rsidR="00BD4B4B" w:rsidRPr="006944B3">
        <w:t xml:space="preserve"> los resultados obtenidos, </w:t>
      </w:r>
      <w:r w:rsidR="00CE3411">
        <w:t xml:space="preserve">como el </w:t>
      </w:r>
      <w:r w:rsidR="00BD4B4B" w:rsidRPr="006944B3">
        <w:t>análisis bibliométrico</w:t>
      </w:r>
      <w:r w:rsidR="00CE3411">
        <w:t xml:space="preserve"> </w:t>
      </w:r>
      <w:r w:rsidR="00BD4B4B" w:rsidRPr="006944B3">
        <w:t>y los ejemplos prácticos extraídos del análisis web, con el propósito de aportar conocimiento sobre la implementación de blockchain en el sector público como mecanismo para fortalecer la eficiencia y transparencia administrativa.</w:t>
      </w:r>
    </w:p>
    <w:p w14:paraId="79885030" w14:textId="32D802A0" w:rsidR="00A450CD" w:rsidRPr="006944B3" w:rsidRDefault="00A450CD" w:rsidP="00A450CD">
      <w:pPr>
        <w:pStyle w:val="Ttulo1"/>
        <w:numPr>
          <w:ilvl w:val="0"/>
          <w:numId w:val="2"/>
        </w:numPr>
        <w:tabs>
          <w:tab w:val="left" w:pos="639"/>
        </w:tabs>
        <w:spacing w:before="326"/>
      </w:pPr>
      <w:r w:rsidRPr="006944B3">
        <w:rPr>
          <w:spacing w:val="-2"/>
        </w:rPr>
        <w:t>Resultados</w:t>
      </w:r>
    </w:p>
    <w:p w14:paraId="36BF9FFE" w14:textId="77777777" w:rsidR="004D1764" w:rsidRPr="006944B3" w:rsidRDefault="004D1764" w:rsidP="004D1764">
      <w:pPr>
        <w:spacing w:line="360" w:lineRule="auto"/>
        <w:jc w:val="both"/>
      </w:pPr>
    </w:p>
    <w:p w14:paraId="51DFC162" w14:textId="124C5ACF" w:rsidR="004D1764" w:rsidRPr="006944B3" w:rsidRDefault="004D1764" w:rsidP="004D1764">
      <w:pPr>
        <w:spacing w:line="276" w:lineRule="auto"/>
        <w:jc w:val="both"/>
      </w:pPr>
      <w:r w:rsidRPr="006944B3">
        <w:t xml:space="preserve">       </w:t>
      </w:r>
      <w:r w:rsidR="0023572D">
        <w:t>En la</w:t>
      </w:r>
      <w:r w:rsidRPr="006944B3">
        <w:t xml:space="preserve"> fase de revisión bibliográfica, se aplicó la ecuación de búsqueda depurada en las bases de datos Scopus y Web of Science. En total, se identifi</w:t>
      </w:r>
      <w:r w:rsidR="00CF374E">
        <w:t>có</w:t>
      </w:r>
      <w:r w:rsidRPr="006944B3">
        <w:t xml:space="preserve"> 591 documentos en Scopus y 787 en Web of Science. </w:t>
      </w:r>
      <w:r w:rsidR="00CF374E">
        <w:t xml:space="preserve">Después de </w:t>
      </w:r>
      <w:r w:rsidRPr="006944B3">
        <w:t>aplicar los criterios de inclusión y exclusión, se seleccio</w:t>
      </w:r>
      <w:r w:rsidR="00CF374E">
        <w:t>nó</w:t>
      </w:r>
      <w:r w:rsidRPr="006944B3">
        <w:t xml:space="preserve"> 31 documentos de Scopus y 29 de Web of Science. Además, se </w:t>
      </w:r>
      <w:r w:rsidR="00CF374E">
        <w:t>incluyó</w:t>
      </w:r>
      <w:r w:rsidRPr="006944B3">
        <w:t xml:space="preserve"> 4 documentos identificados mediante Google Académico. A partir de est</w:t>
      </w:r>
      <w:r w:rsidR="00CF374E">
        <w:t>o</w:t>
      </w:r>
      <w:r w:rsidRPr="006944B3">
        <w:t xml:space="preserve">, se </w:t>
      </w:r>
      <w:r w:rsidR="00CF374E">
        <w:t>realizó el</w:t>
      </w:r>
      <w:r w:rsidRPr="006944B3">
        <w:t xml:space="preserve"> análisis bibliométrico para caracterizar el estado actual de la literatura científica sobre blockchain en el sector público.</w:t>
      </w:r>
      <w:r w:rsidR="00CF374E">
        <w:t xml:space="preserve"> En este proceso, se visualizó en </w:t>
      </w:r>
      <w:r w:rsidR="00CF374E" w:rsidRPr="006944B3">
        <w:t xml:space="preserve">VOSviewer </w:t>
      </w:r>
      <w:r w:rsidRPr="006944B3">
        <w:t xml:space="preserve">el crecimiento de la producción científica relacionada con la tecnología blockchain en procesos administrativos del sector público. </w:t>
      </w:r>
    </w:p>
    <w:p w14:paraId="0E1AEB2F" w14:textId="7C71E461" w:rsidR="004D1764" w:rsidRPr="006944B3" w:rsidRDefault="004D1764" w:rsidP="004D1764">
      <w:pPr>
        <w:spacing w:line="276" w:lineRule="auto"/>
        <w:jc w:val="both"/>
      </w:pPr>
      <w:r w:rsidRPr="006944B3">
        <w:t xml:space="preserve">       </w:t>
      </w:r>
      <w:r w:rsidR="00CF374E">
        <w:t>En la Figura 1, se observó en</w:t>
      </w:r>
      <w:r w:rsidRPr="006944B3">
        <w:t xml:space="preserve"> el periodo 2020–2025</w:t>
      </w:r>
      <w:r w:rsidR="00CF374E">
        <w:t xml:space="preserve"> </w:t>
      </w:r>
      <w:r w:rsidRPr="006944B3">
        <w:t>un crecimiento constante en la producción académica. En 2020 solo se identificó una publicación, aumentando hasta 7 en 2022, mientras que en 2024 se alcanzó el mayor pico con 9 publicaciones. Aunque en 2023 se evidenció una leve disminución, esto puede estar relacionado con factores regulatorios, de escalabilidad o reflexiones metodológicas más profundas en los proyectos desarrollados [</w:t>
      </w:r>
      <w:r w:rsidR="003D7130" w:rsidRPr="006944B3">
        <w:t>2</w:t>
      </w:r>
      <w:r w:rsidR="00576CE7" w:rsidRPr="006944B3">
        <w:t>4</w:t>
      </w:r>
      <w:r w:rsidRPr="006944B3">
        <w:t>].</w:t>
      </w:r>
    </w:p>
    <w:p w14:paraId="6DCEDE44" w14:textId="77777777" w:rsidR="004D1764" w:rsidRPr="006944B3" w:rsidRDefault="004D1764" w:rsidP="004D1764">
      <w:pPr>
        <w:keepNext/>
        <w:spacing w:line="276" w:lineRule="auto"/>
        <w:jc w:val="center"/>
      </w:pPr>
      <w:r w:rsidRPr="006944B3">
        <w:rPr>
          <w:noProof/>
        </w:rPr>
        <w:lastRenderedPageBreak/>
        <w:drawing>
          <wp:inline distT="0" distB="0" distL="0" distR="0" wp14:anchorId="1AEA099A" wp14:editId="7CC01B0D">
            <wp:extent cx="5601970" cy="2419832"/>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BEBA8EAE-BF5A-486C-A8C5-ECC9F3942E4B}">
                          <a14:imgProps xmlns:a14="http://schemas.microsoft.com/office/drawing/2010/main">
                            <a14:imgLayer r:embed="rId12">
                              <a14:imgEffect>
                                <a14:sharpenSoften amount="25000"/>
                              </a14:imgEffect>
                            </a14:imgLayer>
                          </a14:imgProps>
                        </a:ext>
                      </a:extLst>
                    </a:blip>
                    <a:srcRect l="1076" t="2452" r="2087" b="2267"/>
                    <a:stretch/>
                  </pic:blipFill>
                  <pic:spPr bwMode="auto">
                    <a:xfrm>
                      <a:off x="0" y="0"/>
                      <a:ext cx="5620341" cy="2427768"/>
                    </a:xfrm>
                    <a:prstGeom prst="rect">
                      <a:avLst/>
                    </a:prstGeom>
                    <a:ln>
                      <a:noFill/>
                    </a:ln>
                    <a:extLst>
                      <a:ext uri="{53640926-AAD7-44D8-BBD7-CCE9431645EC}">
                        <a14:shadowObscured xmlns:a14="http://schemas.microsoft.com/office/drawing/2010/main"/>
                      </a:ext>
                    </a:extLst>
                  </pic:spPr>
                </pic:pic>
              </a:graphicData>
            </a:graphic>
          </wp:inline>
        </w:drawing>
      </w:r>
    </w:p>
    <w:p w14:paraId="7E89499F" w14:textId="78505315" w:rsidR="004D1764" w:rsidRPr="006944B3" w:rsidRDefault="004D1764" w:rsidP="004D1764">
      <w:pPr>
        <w:pStyle w:val="Descripcin"/>
        <w:jc w:val="center"/>
        <w:rPr>
          <w:i w:val="0"/>
          <w:iCs w:val="0"/>
          <w:color w:val="auto"/>
          <w:sz w:val="20"/>
          <w:szCs w:val="20"/>
        </w:rPr>
      </w:pPr>
      <w:r w:rsidRPr="006944B3">
        <w:rPr>
          <w:b/>
          <w:bCs/>
          <w:i w:val="0"/>
          <w:iCs w:val="0"/>
          <w:color w:val="auto"/>
          <w:sz w:val="20"/>
          <w:szCs w:val="20"/>
        </w:rPr>
        <w:t xml:space="preserve">Figura </w:t>
      </w:r>
      <w:r w:rsidR="00B433E1">
        <w:rPr>
          <w:b/>
          <w:bCs/>
          <w:i w:val="0"/>
          <w:iCs w:val="0"/>
          <w:color w:val="auto"/>
          <w:sz w:val="20"/>
          <w:szCs w:val="20"/>
        </w:rPr>
        <w:fldChar w:fldCharType="begin"/>
      </w:r>
      <w:r w:rsidR="00B433E1">
        <w:rPr>
          <w:b/>
          <w:bCs/>
          <w:i w:val="0"/>
          <w:iCs w:val="0"/>
          <w:color w:val="auto"/>
          <w:sz w:val="20"/>
          <w:szCs w:val="20"/>
        </w:rPr>
        <w:instrText xml:space="preserve"> SEQ Figura \* ARABIC </w:instrText>
      </w:r>
      <w:r w:rsidR="00B433E1">
        <w:rPr>
          <w:b/>
          <w:bCs/>
          <w:i w:val="0"/>
          <w:iCs w:val="0"/>
          <w:color w:val="auto"/>
          <w:sz w:val="20"/>
          <w:szCs w:val="20"/>
        </w:rPr>
        <w:fldChar w:fldCharType="separate"/>
      </w:r>
      <w:r w:rsidR="00B433E1">
        <w:rPr>
          <w:b/>
          <w:bCs/>
          <w:i w:val="0"/>
          <w:iCs w:val="0"/>
          <w:noProof/>
          <w:color w:val="auto"/>
          <w:sz w:val="20"/>
          <w:szCs w:val="20"/>
        </w:rPr>
        <w:t>1</w:t>
      </w:r>
      <w:r w:rsidR="00B433E1">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Publicaciones por año para la base de datos de Web of Science</w:t>
      </w:r>
    </w:p>
    <w:p w14:paraId="77DC62B9" w14:textId="77777777" w:rsidR="004D1764" w:rsidRPr="006944B3" w:rsidRDefault="004D1764" w:rsidP="004D1764">
      <w:pPr>
        <w:ind w:left="757" w:right="730"/>
        <w:jc w:val="center"/>
      </w:pPr>
      <w:r w:rsidRPr="006944B3">
        <w:rPr>
          <w:b/>
        </w:rPr>
        <w:t>Fuente:</w:t>
      </w:r>
      <w:r w:rsidRPr="006944B3">
        <w:rPr>
          <w:b/>
          <w:spacing w:val="-9"/>
        </w:rPr>
        <w:t xml:space="preserve"> </w:t>
      </w:r>
      <w:r w:rsidRPr="006944B3">
        <w:rPr>
          <w:spacing w:val="-2"/>
        </w:rPr>
        <w:t>Autores.</w:t>
      </w:r>
    </w:p>
    <w:p w14:paraId="79456FBB" w14:textId="77777777" w:rsidR="004D1764" w:rsidRPr="006944B3" w:rsidRDefault="004D1764" w:rsidP="004D1764"/>
    <w:p w14:paraId="39BD1DC7" w14:textId="3E0FBB40" w:rsidR="004D1764" w:rsidRPr="006944B3" w:rsidRDefault="004D1764" w:rsidP="004D1764">
      <w:pPr>
        <w:spacing w:line="276" w:lineRule="auto"/>
        <w:jc w:val="both"/>
      </w:pPr>
      <w:r w:rsidRPr="006944B3">
        <w:t xml:space="preserve">       Las áreas temáticas predominantes fueron investigación operativa y ciencias de la gestión (10 artículos), seguidas de administración pública (9 artículos). Estas áreas reflejan un interés por evaluar el impacto de blockchain en la eficiencia, reducción de tiempos, trazabilidad y rendición de cuentas [</w:t>
      </w:r>
      <w:r w:rsidR="00FA744A" w:rsidRPr="006944B3">
        <w:t>18</w:t>
      </w:r>
      <w:r w:rsidRPr="006944B3">
        <w:t>]. Otras disciplinas como gestión y ciencias sociales interdisciplinarias complementan este enfoque como se ve en la Figura 2, lo que permite explorar no solo resultados técnicos, sino también las percepciones y dinámicas sociales asociadas [</w:t>
      </w:r>
      <w:r w:rsidR="003D7130" w:rsidRPr="006944B3">
        <w:t>25</w:t>
      </w:r>
      <w:r w:rsidRPr="006944B3">
        <w:t>].</w:t>
      </w:r>
    </w:p>
    <w:p w14:paraId="5E779267" w14:textId="77777777" w:rsidR="007F6D69" w:rsidRPr="006944B3" w:rsidRDefault="007F6D69" w:rsidP="004D1764">
      <w:pPr>
        <w:spacing w:line="276" w:lineRule="auto"/>
        <w:jc w:val="both"/>
      </w:pPr>
    </w:p>
    <w:p w14:paraId="49157917" w14:textId="77777777" w:rsidR="00B560DE" w:rsidRPr="006944B3" w:rsidRDefault="004D1764" w:rsidP="00B560DE">
      <w:pPr>
        <w:keepNext/>
        <w:spacing w:line="276" w:lineRule="auto"/>
        <w:jc w:val="center"/>
      </w:pPr>
      <w:r w:rsidRPr="006944B3">
        <w:rPr>
          <w:noProof/>
        </w:rPr>
        <w:drawing>
          <wp:inline distT="0" distB="0" distL="0" distR="0" wp14:anchorId="21BF92EC" wp14:editId="389E11F2">
            <wp:extent cx="5850837" cy="284670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BEBA8EAE-BF5A-486C-A8C5-ECC9F3942E4B}">
                          <a14:imgProps xmlns:a14="http://schemas.microsoft.com/office/drawing/2010/main">
                            <a14:imgLayer r:embed="rId14">
                              <a14:imgEffect>
                                <a14:sharpenSoften amount="25000"/>
                              </a14:imgEffect>
                            </a14:imgLayer>
                          </a14:imgProps>
                        </a:ext>
                      </a:extLst>
                    </a:blip>
                    <a:srcRect l="1384" t="2767" r="1295" b="2532"/>
                    <a:stretch/>
                  </pic:blipFill>
                  <pic:spPr bwMode="auto">
                    <a:xfrm>
                      <a:off x="0" y="0"/>
                      <a:ext cx="5879190" cy="2860500"/>
                    </a:xfrm>
                    <a:prstGeom prst="rect">
                      <a:avLst/>
                    </a:prstGeom>
                    <a:ln>
                      <a:noFill/>
                    </a:ln>
                    <a:extLst>
                      <a:ext uri="{53640926-AAD7-44D8-BBD7-CCE9431645EC}">
                        <a14:shadowObscured xmlns:a14="http://schemas.microsoft.com/office/drawing/2010/main"/>
                      </a:ext>
                    </a:extLst>
                  </pic:spPr>
                </pic:pic>
              </a:graphicData>
            </a:graphic>
          </wp:inline>
        </w:drawing>
      </w:r>
    </w:p>
    <w:p w14:paraId="3E4C90D5" w14:textId="2945F3B7" w:rsidR="004D1764" w:rsidRPr="006944B3" w:rsidRDefault="00B560DE" w:rsidP="00B560DE">
      <w:pPr>
        <w:pStyle w:val="Descripcin"/>
        <w:jc w:val="center"/>
        <w:rPr>
          <w:i w:val="0"/>
          <w:iCs w:val="0"/>
          <w:color w:val="auto"/>
          <w:sz w:val="20"/>
          <w:szCs w:val="20"/>
        </w:rPr>
      </w:pPr>
      <w:r w:rsidRPr="006944B3">
        <w:rPr>
          <w:b/>
          <w:bCs/>
          <w:i w:val="0"/>
          <w:iCs w:val="0"/>
          <w:color w:val="auto"/>
          <w:sz w:val="20"/>
          <w:szCs w:val="20"/>
        </w:rPr>
        <w:t xml:space="preserve">Figura </w:t>
      </w:r>
      <w:r w:rsidR="00B433E1">
        <w:rPr>
          <w:b/>
          <w:bCs/>
          <w:i w:val="0"/>
          <w:iCs w:val="0"/>
          <w:color w:val="auto"/>
          <w:sz w:val="20"/>
          <w:szCs w:val="20"/>
        </w:rPr>
        <w:fldChar w:fldCharType="begin"/>
      </w:r>
      <w:r w:rsidR="00B433E1">
        <w:rPr>
          <w:b/>
          <w:bCs/>
          <w:i w:val="0"/>
          <w:iCs w:val="0"/>
          <w:color w:val="auto"/>
          <w:sz w:val="20"/>
          <w:szCs w:val="20"/>
        </w:rPr>
        <w:instrText xml:space="preserve"> SEQ Figura \* ARABIC </w:instrText>
      </w:r>
      <w:r w:rsidR="00B433E1">
        <w:rPr>
          <w:b/>
          <w:bCs/>
          <w:i w:val="0"/>
          <w:iCs w:val="0"/>
          <w:color w:val="auto"/>
          <w:sz w:val="20"/>
          <w:szCs w:val="20"/>
        </w:rPr>
        <w:fldChar w:fldCharType="separate"/>
      </w:r>
      <w:r w:rsidR="00B433E1">
        <w:rPr>
          <w:b/>
          <w:bCs/>
          <w:i w:val="0"/>
          <w:iCs w:val="0"/>
          <w:noProof/>
          <w:color w:val="auto"/>
          <w:sz w:val="20"/>
          <w:szCs w:val="20"/>
        </w:rPr>
        <w:t>2</w:t>
      </w:r>
      <w:r w:rsidR="00B433E1">
        <w:rPr>
          <w:b/>
          <w:bCs/>
          <w:i w:val="0"/>
          <w:iCs w:val="0"/>
          <w:color w:val="auto"/>
          <w:sz w:val="20"/>
          <w:szCs w:val="20"/>
        </w:rPr>
        <w:fldChar w:fldCharType="end"/>
      </w:r>
      <w:r w:rsidRPr="006944B3">
        <w:rPr>
          <w:b/>
          <w:bCs/>
          <w:i w:val="0"/>
          <w:iCs w:val="0"/>
          <w:color w:val="auto"/>
          <w:sz w:val="20"/>
          <w:szCs w:val="20"/>
        </w:rPr>
        <w:t xml:space="preserve">. </w:t>
      </w:r>
      <w:r w:rsidRPr="006944B3">
        <w:rPr>
          <w:i w:val="0"/>
          <w:iCs w:val="0"/>
          <w:color w:val="auto"/>
          <w:sz w:val="20"/>
          <w:szCs w:val="20"/>
        </w:rPr>
        <w:t>Publicaciones por área temática para la base de datos de Web of Science</w:t>
      </w:r>
    </w:p>
    <w:p w14:paraId="75C0FE28" w14:textId="77777777" w:rsidR="00B560DE" w:rsidRPr="006944B3" w:rsidRDefault="00B560DE" w:rsidP="00B560DE">
      <w:pPr>
        <w:ind w:left="757" w:right="730"/>
        <w:jc w:val="center"/>
      </w:pPr>
      <w:r w:rsidRPr="006944B3">
        <w:rPr>
          <w:b/>
        </w:rPr>
        <w:t>Fuente:</w:t>
      </w:r>
      <w:r w:rsidRPr="006944B3">
        <w:rPr>
          <w:b/>
          <w:spacing w:val="-9"/>
        </w:rPr>
        <w:t xml:space="preserve"> </w:t>
      </w:r>
      <w:r w:rsidRPr="006944B3">
        <w:rPr>
          <w:spacing w:val="-2"/>
        </w:rPr>
        <w:t>Autores.</w:t>
      </w:r>
    </w:p>
    <w:p w14:paraId="74477E30" w14:textId="77777777" w:rsidR="00B560DE" w:rsidRPr="006944B3" w:rsidRDefault="00B560DE" w:rsidP="00B560DE"/>
    <w:p w14:paraId="272C1B82" w14:textId="41221FD6" w:rsidR="004D1764" w:rsidRPr="006944B3" w:rsidRDefault="004D1764" w:rsidP="004D1764">
      <w:pPr>
        <w:spacing w:line="276" w:lineRule="auto"/>
        <w:jc w:val="both"/>
      </w:pPr>
      <w:r w:rsidRPr="006944B3">
        <w:t xml:space="preserve">       En cuanto a los autores, se observó una alta dispersión: 120 investigadores contribuyeron con una única publicación cada uno, lo que reafirma el carácter emergente del campo</w:t>
      </w:r>
      <w:r w:rsidR="00B560DE" w:rsidRPr="006944B3">
        <w:t xml:space="preserve">, </w:t>
      </w:r>
      <w:r w:rsidR="007F6D69" w:rsidRPr="006944B3">
        <w:t>así</w:t>
      </w:r>
      <w:r w:rsidR="00B560DE" w:rsidRPr="006944B3">
        <w:t xml:space="preserve"> como se muestra en la Figura 3</w:t>
      </w:r>
      <w:r w:rsidRPr="006944B3">
        <w:t>.</w:t>
      </w:r>
    </w:p>
    <w:p w14:paraId="53080423" w14:textId="77777777" w:rsidR="004D1764" w:rsidRPr="006944B3" w:rsidRDefault="004D1764" w:rsidP="004D1764">
      <w:pPr>
        <w:spacing w:line="276" w:lineRule="auto"/>
        <w:jc w:val="both"/>
      </w:pPr>
    </w:p>
    <w:p w14:paraId="07D61E33" w14:textId="77777777" w:rsidR="00B560DE" w:rsidRPr="006944B3" w:rsidRDefault="00B560DE" w:rsidP="00B560DE">
      <w:pPr>
        <w:keepNext/>
        <w:spacing w:line="276" w:lineRule="auto"/>
        <w:jc w:val="center"/>
      </w:pPr>
      <w:r w:rsidRPr="006944B3">
        <w:rPr>
          <w:noProof/>
        </w:rPr>
        <w:drawing>
          <wp:inline distT="0" distB="0" distL="0" distR="0" wp14:anchorId="308D9CF8" wp14:editId="464B815C">
            <wp:extent cx="5918200" cy="2846094"/>
            <wp:effectExtent l="0" t="0" r="635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BEBA8EAE-BF5A-486C-A8C5-ECC9F3942E4B}">
                          <a14:imgProps xmlns:a14="http://schemas.microsoft.com/office/drawing/2010/main">
                            <a14:imgLayer r:embed="rId16">
                              <a14:imgEffect>
                                <a14:sharpenSoften amount="25000"/>
                              </a14:imgEffect>
                            </a14:imgLayer>
                          </a14:imgProps>
                        </a:ext>
                      </a:extLst>
                    </a:blip>
                    <a:srcRect l="866" t="2048" r="1862" b="3175"/>
                    <a:stretch/>
                  </pic:blipFill>
                  <pic:spPr bwMode="auto">
                    <a:xfrm>
                      <a:off x="0" y="0"/>
                      <a:ext cx="5918200" cy="2846094"/>
                    </a:xfrm>
                    <a:prstGeom prst="rect">
                      <a:avLst/>
                    </a:prstGeom>
                    <a:ln>
                      <a:noFill/>
                    </a:ln>
                    <a:extLst>
                      <a:ext uri="{53640926-AAD7-44D8-BBD7-CCE9431645EC}">
                        <a14:shadowObscured xmlns:a14="http://schemas.microsoft.com/office/drawing/2010/main"/>
                      </a:ext>
                    </a:extLst>
                  </pic:spPr>
                </pic:pic>
              </a:graphicData>
            </a:graphic>
          </wp:inline>
        </w:drawing>
      </w:r>
    </w:p>
    <w:p w14:paraId="6F61D883" w14:textId="68C7515A" w:rsidR="00A450CD" w:rsidRPr="006944B3" w:rsidRDefault="00B560DE" w:rsidP="00B560DE">
      <w:pPr>
        <w:pStyle w:val="Descripcin"/>
        <w:jc w:val="center"/>
        <w:rPr>
          <w:i w:val="0"/>
          <w:iCs w:val="0"/>
          <w:color w:val="auto"/>
          <w:sz w:val="20"/>
          <w:szCs w:val="20"/>
        </w:rPr>
      </w:pPr>
      <w:r w:rsidRPr="006944B3">
        <w:rPr>
          <w:b/>
          <w:bCs/>
          <w:i w:val="0"/>
          <w:iCs w:val="0"/>
          <w:color w:val="auto"/>
          <w:sz w:val="20"/>
          <w:szCs w:val="20"/>
        </w:rPr>
        <w:t xml:space="preserve">Figura </w:t>
      </w:r>
      <w:r w:rsidR="00B433E1">
        <w:rPr>
          <w:b/>
          <w:bCs/>
          <w:i w:val="0"/>
          <w:iCs w:val="0"/>
          <w:color w:val="auto"/>
          <w:sz w:val="20"/>
          <w:szCs w:val="20"/>
        </w:rPr>
        <w:fldChar w:fldCharType="begin"/>
      </w:r>
      <w:r w:rsidR="00B433E1">
        <w:rPr>
          <w:b/>
          <w:bCs/>
          <w:i w:val="0"/>
          <w:iCs w:val="0"/>
          <w:color w:val="auto"/>
          <w:sz w:val="20"/>
          <w:szCs w:val="20"/>
        </w:rPr>
        <w:instrText xml:space="preserve"> SEQ Figura \* ARABIC </w:instrText>
      </w:r>
      <w:r w:rsidR="00B433E1">
        <w:rPr>
          <w:b/>
          <w:bCs/>
          <w:i w:val="0"/>
          <w:iCs w:val="0"/>
          <w:color w:val="auto"/>
          <w:sz w:val="20"/>
          <w:szCs w:val="20"/>
        </w:rPr>
        <w:fldChar w:fldCharType="separate"/>
      </w:r>
      <w:r w:rsidR="00B433E1">
        <w:rPr>
          <w:b/>
          <w:bCs/>
          <w:i w:val="0"/>
          <w:iCs w:val="0"/>
          <w:noProof/>
          <w:color w:val="auto"/>
          <w:sz w:val="20"/>
          <w:szCs w:val="20"/>
        </w:rPr>
        <w:t>3</w:t>
      </w:r>
      <w:r w:rsidR="00B433E1">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Publicaciones por autor para la base de datos de Web of Science</w:t>
      </w:r>
      <w:bookmarkStart w:id="3" w:name="_bookmark2"/>
      <w:bookmarkEnd w:id="3"/>
    </w:p>
    <w:p w14:paraId="17BC099C" w14:textId="77777777" w:rsidR="00A450CD" w:rsidRPr="006944B3" w:rsidRDefault="00A450CD" w:rsidP="00A450CD">
      <w:pPr>
        <w:ind w:left="757" w:right="730"/>
        <w:jc w:val="center"/>
      </w:pPr>
      <w:r w:rsidRPr="006944B3">
        <w:rPr>
          <w:b/>
        </w:rPr>
        <w:t>Fuente:</w:t>
      </w:r>
      <w:r w:rsidRPr="006944B3">
        <w:rPr>
          <w:b/>
          <w:spacing w:val="-9"/>
        </w:rPr>
        <w:t xml:space="preserve"> </w:t>
      </w:r>
      <w:r w:rsidRPr="006944B3">
        <w:rPr>
          <w:spacing w:val="-2"/>
        </w:rPr>
        <w:t>Autores.</w:t>
      </w:r>
    </w:p>
    <w:p w14:paraId="4F4C2FB9" w14:textId="41BD16C7" w:rsidR="00581BF2" w:rsidRPr="006944B3" w:rsidRDefault="00581BF2" w:rsidP="00581BF2">
      <w:pPr>
        <w:spacing w:line="276" w:lineRule="auto"/>
        <w:jc w:val="both"/>
      </w:pPr>
      <w:r w:rsidRPr="006944B3">
        <w:t xml:space="preserve">       En Scopus, la tendencia fue ligeramente distinta. Entre 2020 y 2021, las publicaciones crecieron de 2 a 7, estabilizándose luego entre 6 y 8 hasta 2024. Este comportamiento sugiere una fase de maduración, con un enfoque más diversificado hacia estudios de caso [</w:t>
      </w:r>
      <w:r w:rsidR="003D7130" w:rsidRPr="006944B3">
        <w:t>25</w:t>
      </w:r>
      <w:r w:rsidRPr="006944B3">
        <w:t>]. Solo se encontró un artículo en 2025, lo que podría explicarse por el calendario editorial de muchas revistas científicas. Esto se puede observar en la Figura 4.</w:t>
      </w:r>
    </w:p>
    <w:p w14:paraId="335492BD" w14:textId="77777777" w:rsidR="00054905" w:rsidRPr="006944B3" w:rsidRDefault="00054905" w:rsidP="00F32A49">
      <w:pPr>
        <w:keepNext/>
        <w:spacing w:line="276" w:lineRule="auto"/>
        <w:jc w:val="center"/>
      </w:pPr>
      <w:r w:rsidRPr="006944B3">
        <w:rPr>
          <w:noProof/>
        </w:rPr>
        <w:drawing>
          <wp:inline distT="0" distB="0" distL="0" distR="0" wp14:anchorId="7A7FDB10" wp14:editId="194AB02E">
            <wp:extent cx="4908276" cy="2922969"/>
            <wp:effectExtent l="0" t="0" r="698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BEBA8EAE-BF5A-486C-A8C5-ECC9F3942E4B}">
                          <a14:imgProps xmlns:a14="http://schemas.microsoft.com/office/drawing/2010/main">
                            <a14:imgLayer r:embed="rId18">
                              <a14:imgEffect>
                                <a14:sharpenSoften amount="25000"/>
                              </a14:imgEffect>
                            </a14:imgLayer>
                          </a14:imgProps>
                        </a:ext>
                      </a:extLst>
                    </a:blip>
                    <a:srcRect r="1010"/>
                    <a:stretch/>
                  </pic:blipFill>
                  <pic:spPr bwMode="auto">
                    <a:xfrm>
                      <a:off x="0" y="0"/>
                      <a:ext cx="4946533" cy="2945752"/>
                    </a:xfrm>
                    <a:prstGeom prst="rect">
                      <a:avLst/>
                    </a:prstGeom>
                    <a:ln>
                      <a:noFill/>
                    </a:ln>
                    <a:extLst>
                      <a:ext uri="{53640926-AAD7-44D8-BBD7-CCE9431645EC}">
                        <a14:shadowObscured xmlns:a14="http://schemas.microsoft.com/office/drawing/2010/main"/>
                      </a:ext>
                    </a:extLst>
                  </pic:spPr>
                </pic:pic>
              </a:graphicData>
            </a:graphic>
          </wp:inline>
        </w:drawing>
      </w:r>
    </w:p>
    <w:p w14:paraId="30E9C735" w14:textId="7C01DF91" w:rsidR="00581BF2" w:rsidRPr="006944B3" w:rsidRDefault="00054905" w:rsidP="00054905">
      <w:pPr>
        <w:pStyle w:val="Descripcin"/>
        <w:jc w:val="center"/>
        <w:rPr>
          <w:i w:val="0"/>
          <w:iCs w:val="0"/>
          <w:color w:val="auto"/>
          <w:sz w:val="20"/>
          <w:szCs w:val="20"/>
        </w:rPr>
      </w:pPr>
      <w:r w:rsidRPr="006944B3">
        <w:rPr>
          <w:b/>
          <w:bCs/>
          <w:i w:val="0"/>
          <w:iCs w:val="0"/>
          <w:color w:val="auto"/>
          <w:sz w:val="20"/>
          <w:szCs w:val="20"/>
        </w:rPr>
        <w:t xml:space="preserve">Figura </w:t>
      </w:r>
      <w:r w:rsidR="00B433E1">
        <w:rPr>
          <w:b/>
          <w:bCs/>
          <w:i w:val="0"/>
          <w:iCs w:val="0"/>
          <w:color w:val="auto"/>
          <w:sz w:val="20"/>
          <w:szCs w:val="20"/>
        </w:rPr>
        <w:fldChar w:fldCharType="begin"/>
      </w:r>
      <w:r w:rsidR="00B433E1">
        <w:rPr>
          <w:b/>
          <w:bCs/>
          <w:i w:val="0"/>
          <w:iCs w:val="0"/>
          <w:color w:val="auto"/>
          <w:sz w:val="20"/>
          <w:szCs w:val="20"/>
        </w:rPr>
        <w:instrText xml:space="preserve"> SEQ Figura \* ARABIC </w:instrText>
      </w:r>
      <w:r w:rsidR="00B433E1">
        <w:rPr>
          <w:b/>
          <w:bCs/>
          <w:i w:val="0"/>
          <w:iCs w:val="0"/>
          <w:color w:val="auto"/>
          <w:sz w:val="20"/>
          <w:szCs w:val="20"/>
        </w:rPr>
        <w:fldChar w:fldCharType="separate"/>
      </w:r>
      <w:r w:rsidR="00B433E1">
        <w:rPr>
          <w:b/>
          <w:bCs/>
          <w:i w:val="0"/>
          <w:iCs w:val="0"/>
          <w:noProof/>
          <w:color w:val="auto"/>
          <w:sz w:val="20"/>
          <w:szCs w:val="20"/>
        </w:rPr>
        <w:t>4</w:t>
      </w:r>
      <w:r w:rsidR="00B433E1">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Publicaciones por año para la base de datos de Scopus</w:t>
      </w:r>
    </w:p>
    <w:p w14:paraId="2A24A8C8" w14:textId="15A83DB0" w:rsidR="00054905" w:rsidRPr="006944B3" w:rsidRDefault="00054905" w:rsidP="00CA73FA">
      <w:pPr>
        <w:spacing w:after="240"/>
        <w:ind w:left="757" w:right="730"/>
        <w:jc w:val="center"/>
      </w:pPr>
      <w:r w:rsidRPr="006944B3">
        <w:rPr>
          <w:b/>
        </w:rPr>
        <w:t>Fuente:</w:t>
      </w:r>
      <w:r w:rsidRPr="006944B3">
        <w:rPr>
          <w:b/>
          <w:spacing w:val="-9"/>
        </w:rPr>
        <w:t xml:space="preserve"> </w:t>
      </w:r>
      <w:r w:rsidRPr="006944B3">
        <w:rPr>
          <w:spacing w:val="-2"/>
        </w:rPr>
        <w:t>Autores.</w:t>
      </w:r>
    </w:p>
    <w:p w14:paraId="38CFA0F4" w14:textId="484EF71E" w:rsidR="00581BF2" w:rsidRPr="006944B3" w:rsidRDefault="00581BF2" w:rsidP="00581BF2">
      <w:pPr>
        <w:spacing w:line="276" w:lineRule="auto"/>
        <w:jc w:val="both"/>
      </w:pPr>
      <w:r w:rsidRPr="006944B3">
        <w:t xml:space="preserve">       Las ciencias sociales fueron la categoría más frecuente (41</w:t>
      </w:r>
      <w:r w:rsidRPr="006944B3">
        <w:rPr>
          <w:rFonts w:ascii="Times New Roman" w:hAnsi="Times New Roman" w:cs="Times New Roman"/>
        </w:rPr>
        <w:t> </w:t>
      </w:r>
      <w:r w:rsidRPr="006944B3">
        <w:t>%), abordando gobernanza, percepción ciudadana y legitimidad institucional</w:t>
      </w:r>
      <w:r w:rsidR="004438B7" w:rsidRPr="006944B3">
        <w:t xml:space="preserve"> [</w:t>
      </w:r>
      <w:r w:rsidR="003D7130" w:rsidRPr="006944B3">
        <w:t>26</w:t>
      </w:r>
      <w:r w:rsidR="004438B7" w:rsidRPr="006944B3">
        <w:t>]</w:t>
      </w:r>
      <w:r w:rsidRPr="006944B3">
        <w:t>. Las ciencias de la computación (17.3</w:t>
      </w:r>
      <w:r w:rsidRPr="006944B3">
        <w:rPr>
          <w:rFonts w:ascii="Times New Roman" w:hAnsi="Times New Roman" w:cs="Times New Roman"/>
        </w:rPr>
        <w:t> </w:t>
      </w:r>
      <w:r w:rsidRPr="006944B3">
        <w:t xml:space="preserve">%) se </w:t>
      </w:r>
      <w:r w:rsidRPr="006944B3">
        <w:lastRenderedPageBreak/>
        <w:t>centraron en desarrollos técnicos como mecanismos de consenso y arquitecturas de nodo [</w:t>
      </w:r>
      <w:r w:rsidR="00FA744A" w:rsidRPr="006944B3">
        <w:t>2</w:t>
      </w:r>
      <w:r w:rsidR="004438B7" w:rsidRPr="006944B3">
        <w:t>2</w:t>
      </w:r>
      <w:r w:rsidRPr="006944B3">
        <w:t xml:space="preserve">]. </w:t>
      </w:r>
      <w:r w:rsidR="00054905" w:rsidRPr="006944B3">
        <w:t>En la Figura 5, se encuentran o</w:t>
      </w:r>
      <w:r w:rsidRPr="006944B3">
        <w:t>tras áreas como contabilidad, negocios y toma de decisiones complementan el análisis de viabilidad [</w:t>
      </w:r>
      <w:r w:rsidR="00FA744A" w:rsidRPr="006944B3">
        <w:t>18</w:t>
      </w:r>
      <w:r w:rsidRPr="006944B3">
        <w:t>].</w:t>
      </w:r>
    </w:p>
    <w:p w14:paraId="518D814C" w14:textId="77777777" w:rsidR="00CA73FA" w:rsidRPr="006944B3" w:rsidRDefault="00054905" w:rsidP="00CA73FA">
      <w:pPr>
        <w:keepNext/>
        <w:spacing w:line="276" w:lineRule="auto"/>
        <w:jc w:val="center"/>
      </w:pPr>
      <w:r w:rsidRPr="006944B3">
        <w:rPr>
          <w:noProof/>
        </w:rPr>
        <w:drawing>
          <wp:inline distT="0" distB="0" distL="0" distR="0" wp14:anchorId="52E3EACA" wp14:editId="53C8CB26">
            <wp:extent cx="4820228" cy="2994303"/>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BEBA8EAE-BF5A-486C-A8C5-ECC9F3942E4B}">
                          <a14:imgProps xmlns:a14="http://schemas.microsoft.com/office/drawing/2010/main">
                            <a14:imgLayer r:embed="rId20">
                              <a14:imgEffect>
                                <a14:sharpenSoften amount="25000"/>
                              </a14:imgEffect>
                            </a14:imgLayer>
                          </a14:imgProps>
                        </a:ext>
                      </a:extLst>
                    </a:blip>
                    <a:srcRect l="3117"/>
                    <a:stretch/>
                  </pic:blipFill>
                  <pic:spPr bwMode="auto">
                    <a:xfrm>
                      <a:off x="0" y="0"/>
                      <a:ext cx="4841834" cy="3007724"/>
                    </a:xfrm>
                    <a:prstGeom prst="rect">
                      <a:avLst/>
                    </a:prstGeom>
                    <a:ln>
                      <a:noFill/>
                    </a:ln>
                    <a:extLst>
                      <a:ext uri="{53640926-AAD7-44D8-BBD7-CCE9431645EC}">
                        <a14:shadowObscured xmlns:a14="http://schemas.microsoft.com/office/drawing/2010/main"/>
                      </a:ext>
                    </a:extLst>
                  </pic:spPr>
                </pic:pic>
              </a:graphicData>
            </a:graphic>
          </wp:inline>
        </w:drawing>
      </w:r>
    </w:p>
    <w:p w14:paraId="4E6A6B90" w14:textId="58B1B362" w:rsidR="00054905" w:rsidRPr="006944B3" w:rsidRDefault="00CA73FA" w:rsidP="00CA73FA">
      <w:pPr>
        <w:pStyle w:val="Descripcin"/>
        <w:jc w:val="center"/>
        <w:rPr>
          <w:i w:val="0"/>
          <w:iCs w:val="0"/>
          <w:color w:val="auto"/>
          <w:sz w:val="20"/>
          <w:szCs w:val="20"/>
        </w:rPr>
      </w:pPr>
      <w:r w:rsidRPr="006944B3">
        <w:rPr>
          <w:b/>
          <w:bCs/>
          <w:i w:val="0"/>
          <w:iCs w:val="0"/>
          <w:color w:val="auto"/>
          <w:sz w:val="20"/>
          <w:szCs w:val="20"/>
        </w:rPr>
        <w:t xml:space="preserve">Figura </w:t>
      </w:r>
      <w:r w:rsidR="00B433E1">
        <w:rPr>
          <w:b/>
          <w:bCs/>
          <w:i w:val="0"/>
          <w:iCs w:val="0"/>
          <w:color w:val="auto"/>
          <w:sz w:val="20"/>
          <w:szCs w:val="20"/>
        </w:rPr>
        <w:fldChar w:fldCharType="begin"/>
      </w:r>
      <w:r w:rsidR="00B433E1">
        <w:rPr>
          <w:b/>
          <w:bCs/>
          <w:i w:val="0"/>
          <w:iCs w:val="0"/>
          <w:color w:val="auto"/>
          <w:sz w:val="20"/>
          <w:szCs w:val="20"/>
        </w:rPr>
        <w:instrText xml:space="preserve"> SEQ Figura \* ARABIC </w:instrText>
      </w:r>
      <w:r w:rsidR="00B433E1">
        <w:rPr>
          <w:b/>
          <w:bCs/>
          <w:i w:val="0"/>
          <w:iCs w:val="0"/>
          <w:color w:val="auto"/>
          <w:sz w:val="20"/>
          <w:szCs w:val="20"/>
        </w:rPr>
        <w:fldChar w:fldCharType="separate"/>
      </w:r>
      <w:r w:rsidR="00B433E1">
        <w:rPr>
          <w:b/>
          <w:bCs/>
          <w:i w:val="0"/>
          <w:iCs w:val="0"/>
          <w:noProof/>
          <w:color w:val="auto"/>
          <w:sz w:val="20"/>
          <w:szCs w:val="20"/>
        </w:rPr>
        <w:t>5</w:t>
      </w:r>
      <w:r w:rsidR="00B433E1">
        <w:rPr>
          <w:b/>
          <w:bCs/>
          <w:i w:val="0"/>
          <w:iCs w:val="0"/>
          <w:color w:val="auto"/>
          <w:sz w:val="20"/>
          <w:szCs w:val="20"/>
        </w:rPr>
        <w:fldChar w:fldCharType="end"/>
      </w:r>
      <w:r w:rsidRPr="006944B3">
        <w:rPr>
          <w:i w:val="0"/>
          <w:iCs w:val="0"/>
          <w:color w:val="auto"/>
          <w:sz w:val="20"/>
          <w:szCs w:val="20"/>
        </w:rPr>
        <w:t>. Publicaciones por área temática para la base de datos de Scopus</w:t>
      </w:r>
    </w:p>
    <w:p w14:paraId="3189579A" w14:textId="77777777" w:rsidR="00CA73FA" w:rsidRPr="006944B3" w:rsidRDefault="00CA73FA" w:rsidP="00CA73FA">
      <w:pPr>
        <w:ind w:left="757" w:right="730"/>
        <w:jc w:val="center"/>
      </w:pPr>
      <w:r w:rsidRPr="006944B3">
        <w:rPr>
          <w:b/>
        </w:rPr>
        <w:t>Fuente:</w:t>
      </w:r>
      <w:r w:rsidRPr="006944B3">
        <w:rPr>
          <w:b/>
          <w:spacing w:val="-9"/>
        </w:rPr>
        <w:t xml:space="preserve"> </w:t>
      </w:r>
      <w:r w:rsidRPr="006944B3">
        <w:rPr>
          <w:spacing w:val="-2"/>
        </w:rPr>
        <w:t>Autores.</w:t>
      </w:r>
    </w:p>
    <w:p w14:paraId="06C7941A" w14:textId="77777777" w:rsidR="00CA73FA" w:rsidRPr="006944B3" w:rsidRDefault="00CA73FA" w:rsidP="00CA73FA"/>
    <w:p w14:paraId="105E74D4" w14:textId="556C7596" w:rsidR="00581BF2" w:rsidRPr="006944B3" w:rsidRDefault="00CA73FA" w:rsidP="00581BF2">
      <w:pPr>
        <w:spacing w:line="276" w:lineRule="auto"/>
        <w:jc w:val="both"/>
      </w:pPr>
      <w:r w:rsidRPr="006944B3">
        <w:t xml:space="preserve">       </w:t>
      </w:r>
      <w:r w:rsidR="00581BF2" w:rsidRPr="006944B3">
        <w:t>Nuevamente, la autoría presentó alta dispersión, con 125 autores únicos y 32 investigadores compartidos con Web of Science</w:t>
      </w:r>
      <w:r w:rsidRPr="006944B3">
        <w:t>, tal como se muestra en la Figura 6</w:t>
      </w:r>
      <w:r w:rsidR="00581BF2" w:rsidRPr="006944B3">
        <w:t>.</w:t>
      </w:r>
    </w:p>
    <w:p w14:paraId="28FDA0DE" w14:textId="77777777" w:rsidR="00A450CD" w:rsidRPr="006944B3" w:rsidRDefault="00A450CD" w:rsidP="00A450CD">
      <w:pPr>
        <w:spacing w:line="297" w:lineRule="auto"/>
        <w:jc w:val="both"/>
      </w:pPr>
    </w:p>
    <w:p w14:paraId="023266BA" w14:textId="77777777" w:rsidR="009715F4" w:rsidRPr="006944B3" w:rsidRDefault="009715F4" w:rsidP="009715F4">
      <w:pPr>
        <w:keepNext/>
        <w:spacing w:line="297" w:lineRule="auto"/>
        <w:jc w:val="center"/>
        <w:rPr>
          <w:sz w:val="20"/>
          <w:szCs w:val="20"/>
        </w:rPr>
      </w:pPr>
      <w:r w:rsidRPr="006944B3">
        <w:rPr>
          <w:noProof/>
          <w:sz w:val="20"/>
          <w:szCs w:val="20"/>
        </w:rPr>
        <w:drawing>
          <wp:inline distT="0" distB="0" distL="0" distR="0" wp14:anchorId="09D3C9C4" wp14:editId="732EE785">
            <wp:extent cx="4856734" cy="2293154"/>
            <wp:effectExtent l="0" t="0" r="127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Lst>
                    </a:blip>
                    <a:stretch>
                      <a:fillRect/>
                    </a:stretch>
                  </pic:blipFill>
                  <pic:spPr>
                    <a:xfrm>
                      <a:off x="0" y="0"/>
                      <a:ext cx="4890926" cy="2309298"/>
                    </a:xfrm>
                    <a:prstGeom prst="rect">
                      <a:avLst/>
                    </a:prstGeom>
                  </pic:spPr>
                </pic:pic>
              </a:graphicData>
            </a:graphic>
          </wp:inline>
        </w:drawing>
      </w:r>
    </w:p>
    <w:p w14:paraId="1EFFB6E9" w14:textId="3D507B92" w:rsidR="00CA73FA" w:rsidRPr="006944B3" w:rsidRDefault="009715F4" w:rsidP="009715F4">
      <w:pPr>
        <w:pStyle w:val="Descripcin"/>
        <w:jc w:val="center"/>
        <w:rPr>
          <w:i w:val="0"/>
          <w:iCs w:val="0"/>
          <w:color w:val="auto"/>
          <w:sz w:val="20"/>
          <w:szCs w:val="20"/>
        </w:rPr>
      </w:pPr>
      <w:r w:rsidRPr="006944B3">
        <w:rPr>
          <w:b/>
          <w:bCs/>
          <w:i w:val="0"/>
          <w:iCs w:val="0"/>
          <w:color w:val="auto"/>
          <w:sz w:val="20"/>
          <w:szCs w:val="20"/>
        </w:rPr>
        <w:t xml:space="preserve">Figura </w:t>
      </w:r>
      <w:r w:rsidR="00B433E1">
        <w:rPr>
          <w:b/>
          <w:bCs/>
          <w:i w:val="0"/>
          <w:iCs w:val="0"/>
          <w:color w:val="auto"/>
          <w:sz w:val="20"/>
          <w:szCs w:val="20"/>
        </w:rPr>
        <w:fldChar w:fldCharType="begin"/>
      </w:r>
      <w:r w:rsidR="00B433E1">
        <w:rPr>
          <w:b/>
          <w:bCs/>
          <w:i w:val="0"/>
          <w:iCs w:val="0"/>
          <w:color w:val="auto"/>
          <w:sz w:val="20"/>
          <w:szCs w:val="20"/>
        </w:rPr>
        <w:instrText xml:space="preserve"> SEQ Figura \* ARABIC </w:instrText>
      </w:r>
      <w:r w:rsidR="00B433E1">
        <w:rPr>
          <w:b/>
          <w:bCs/>
          <w:i w:val="0"/>
          <w:iCs w:val="0"/>
          <w:color w:val="auto"/>
          <w:sz w:val="20"/>
          <w:szCs w:val="20"/>
        </w:rPr>
        <w:fldChar w:fldCharType="separate"/>
      </w:r>
      <w:r w:rsidR="00B433E1">
        <w:rPr>
          <w:b/>
          <w:bCs/>
          <w:i w:val="0"/>
          <w:iCs w:val="0"/>
          <w:noProof/>
          <w:color w:val="auto"/>
          <w:sz w:val="20"/>
          <w:szCs w:val="20"/>
        </w:rPr>
        <w:t>6</w:t>
      </w:r>
      <w:r w:rsidR="00B433E1">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Publicaciones por autor para la base de datos de Scopus</w:t>
      </w:r>
    </w:p>
    <w:p w14:paraId="5318C5DC" w14:textId="77777777" w:rsidR="009715F4" w:rsidRPr="006944B3" w:rsidRDefault="009715F4" w:rsidP="009715F4">
      <w:pPr>
        <w:ind w:left="757" w:right="730"/>
        <w:jc w:val="center"/>
      </w:pPr>
      <w:r w:rsidRPr="006944B3">
        <w:rPr>
          <w:b/>
        </w:rPr>
        <w:t>Fuente:</w:t>
      </w:r>
      <w:r w:rsidRPr="006944B3">
        <w:rPr>
          <w:b/>
          <w:spacing w:val="-9"/>
        </w:rPr>
        <w:t xml:space="preserve"> </w:t>
      </w:r>
      <w:r w:rsidRPr="006944B3">
        <w:rPr>
          <w:spacing w:val="-2"/>
        </w:rPr>
        <w:t>Autores.</w:t>
      </w:r>
    </w:p>
    <w:p w14:paraId="5981368E" w14:textId="77777777" w:rsidR="009715F4" w:rsidRPr="006944B3" w:rsidRDefault="009715F4" w:rsidP="009715F4"/>
    <w:p w14:paraId="098B3E2F" w14:textId="69A66C48" w:rsidR="00576CE7" w:rsidRPr="006944B3" w:rsidRDefault="00351DF6" w:rsidP="00576CE7">
      <w:pPr>
        <w:spacing w:line="276" w:lineRule="auto"/>
        <w:jc w:val="both"/>
      </w:pPr>
      <w:r w:rsidRPr="006944B3">
        <w:t xml:space="preserve">       El mapa de coocurrencia obtenido para la base de datos Web of Science, presentado en la Figura </w:t>
      </w:r>
      <w:r w:rsidR="00F32A49" w:rsidRPr="006944B3">
        <w:t>7</w:t>
      </w:r>
      <w:r w:rsidRPr="006944B3">
        <w:t>, sitúa al término blockchain en el centro de la red (grupo verde), desde donde emergen cuatro vertientes temáticas principales.</w:t>
      </w:r>
    </w:p>
    <w:p w14:paraId="3094E923" w14:textId="77777777" w:rsidR="00F32A49" w:rsidRPr="006944B3" w:rsidRDefault="00F32A49" w:rsidP="00576CE7">
      <w:pPr>
        <w:spacing w:line="276" w:lineRule="auto"/>
        <w:jc w:val="both"/>
      </w:pPr>
    </w:p>
    <w:p w14:paraId="472CBB60" w14:textId="77777777" w:rsidR="00576CE7" w:rsidRPr="006944B3" w:rsidRDefault="00576CE7" w:rsidP="00576CE7">
      <w:pPr>
        <w:keepNext/>
        <w:spacing w:line="276" w:lineRule="auto"/>
        <w:jc w:val="center"/>
        <w:rPr>
          <w:sz w:val="20"/>
          <w:szCs w:val="20"/>
        </w:rPr>
      </w:pPr>
      <w:r w:rsidRPr="006944B3">
        <w:rPr>
          <w:noProof/>
          <w:sz w:val="20"/>
          <w:szCs w:val="20"/>
        </w:rPr>
        <w:lastRenderedPageBreak/>
        <w:drawing>
          <wp:inline distT="0" distB="0" distL="0" distR="0" wp14:anchorId="3D5FFA1D" wp14:editId="5135028F">
            <wp:extent cx="4946466" cy="3895725"/>
            <wp:effectExtent l="0" t="0" r="698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extLst>
                        <a:ext uri="{BEBA8EAE-BF5A-486C-A8C5-ECC9F3942E4B}">
                          <a14:imgProps xmlns:a14="http://schemas.microsoft.com/office/drawing/2010/main">
                            <a14:imgLayer r:embed="rId24">
                              <a14:imgEffect>
                                <a14:sharpenSoften amount="25000"/>
                              </a14:imgEffect>
                            </a14:imgLayer>
                          </a14:imgProps>
                        </a:ext>
                      </a:extLst>
                    </a:blip>
                    <a:srcRect l="6600" t="2779" r="2447" b="2109"/>
                    <a:stretch/>
                  </pic:blipFill>
                  <pic:spPr bwMode="auto">
                    <a:xfrm>
                      <a:off x="0" y="0"/>
                      <a:ext cx="4973137" cy="3916731"/>
                    </a:xfrm>
                    <a:prstGeom prst="rect">
                      <a:avLst/>
                    </a:prstGeom>
                    <a:ln>
                      <a:noFill/>
                    </a:ln>
                    <a:extLst>
                      <a:ext uri="{53640926-AAD7-44D8-BBD7-CCE9431645EC}">
                        <a14:shadowObscured xmlns:a14="http://schemas.microsoft.com/office/drawing/2010/main"/>
                      </a:ext>
                    </a:extLst>
                  </pic:spPr>
                </pic:pic>
              </a:graphicData>
            </a:graphic>
          </wp:inline>
        </w:drawing>
      </w:r>
    </w:p>
    <w:p w14:paraId="0405556B" w14:textId="7F397E6A" w:rsidR="00576CE7" w:rsidRPr="006944B3" w:rsidRDefault="00576CE7" w:rsidP="00576CE7">
      <w:pPr>
        <w:pStyle w:val="Descripcin"/>
        <w:jc w:val="center"/>
        <w:rPr>
          <w:i w:val="0"/>
          <w:iCs w:val="0"/>
          <w:color w:val="auto"/>
          <w:sz w:val="20"/>
          <w:szCs w:val="20"/>
        </w:rPr>
      </w:pPr>
      <w:r w:rsidRPr="006944B3">
        <w:rPr>
          <w:b/>
          <w:bCs/>
          <w:i w:val="0"/>
          <w:iCs w:val="0"/>
          <w:color w:val="auto"/>
          <w:sz w:val="20"/>
          <w:szCs w:val="20"/>
        </w:rPr>
        <w:t xml:space="preserve">Figura </w:t>
      </w:r>
      <w:r w:rsidR="00B433E1">
        <w:rPr>
          <w:b/>
          <w:bCs/>
          <w:i w:val="0"/>
          <w:iCs w:val="0"/>
          <w:color w:val="auto"/>
          <w:sz w:val="20"/>
          <w:szCs w:val="20"/>
        </w:rPr>
        <w:fldChar w:fldCharType="begin"/>
      </w:r>
      <w:r w:rsidR="00B433E1">
        <w:rPr>
          <w:b/>
          <w:bCs/>
          <w:i w:val="0"/>
          <w:iCs w:val="0"/>
          <w:color w:val="auto"/>
          <w:sz w:val="20"/>
          <w:szCs w:val="20"/>
        </w:rPr>
        <w:instrText xml:space="preserve"> SEQ Figura \* ARABIC </w:instrText>
      </w:r>
      <w:r w:rsidR="00B433E1">
        <w:rPr>
          <w:b/>
          <w:bCs/>
          <w:i w:val="0"/>
          <w:iCs w:val="0"/>
          <w:color w:val="auto"/>
          <w:sz w:val="20"/>
          <w:szCs w:val="20"/>
        </w:rPr>
        <w:fldChar w:fldCharType="separate"/>
      </w:r>
      <w:r w:rsidR="00B433E1">
        <w:rPr>
          <w:b/>
          <w:bCs/>
          <w:i w:val="0"/>
          <w:iCs w:val="0"/>
          <w:noProof/>
          <w:color w:val="auto"/>
          <w:sz w:val="20"/>
          <w:szCs w:val="20"/>
        </w:rPr>
        <w:t>7</w:t>
      </w:r>
      <w:r w:rsidR="00B433E1">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Coocurrencia en la base de datos de Web of Science</w:t>
      </w:r>
    </w:p>
    <w:p w14:paraId="5CF11520" w14:textId="3350EC8E" w:rsidR="00576CE7" w:rsidRPr="006944B3" w:rsidRDefault="00576CE7" w:rsidP="00576CE7">
      <w:pPr>
        <w:ind w:left="757" w:right="730"/>
        <w:jc w:val="center"/>
      </w:pPr>
      <w:r w:rsidRPr="006944B3">
        <w:rPr>
          <w:b/>
        </w:rPr>
        <w:t>Fuente:</w:t>
      </w:r>
      <w:r w:rsidRPr="006944B3">
        <w:rPr>
          <w:b/>
          <w:spacing w:val="-9"/>
        </w:rPr>
        <w:t xml:space="preserve"> </w:t>
      </w:r>
      <w:r w:rsidRPr="006944B3">
        <w:rPr>
          <w:spacing w:val="-2"/>
        </w:rPr>
        <w:t>Autores.</w:t>
      </w:r>
    </w:p>
    <w:p w14:paraId="124F5C0E" w14:textId="77777777" w:rsidR="00576CE7" w:rsidRPr="006944B3" w:rsidRDefault="00576CE7" w:rsidP="00351DF6">
      <w:pPr>
        <w:spacing w:line="276" w:lineRule="auto"/>
        <w:jc w:val="both"/>
      </w:pPr>
    </w:p>
    <w:p w14:paraId="0B3681B5" w14:textId="024B9A82" w:rsidR="00351DF6" w:rsidRPr="006944B3" w:rsidRDefault="00351DF6" w:rsidP="00351DF6">
      <w:pPr>
        <w:spacing w:line="276" w:lineRule="auto"/>
        <w:jc w:val="both"/>
      </w:pPr>
      <w:r w:rsidRPr="006944B3">
        <w:t xml:space="preserve">       En primer lugar, el grupo verde interrelaciona términos como gobernanza, casos de estudio, servicios, sistemas y gestión, lo que evidencia el interés de los investigadores por evaluar esta tecnología como instrumento para reconfigurar procesos administrativos [</w:t>
      </w:r>
      <w:r w:rsidR="003D7130" w:rsidRPr="006944B3">
        <w:t>27</w:t>
      </w:r>
      <w:r w:rsidRPr="006944B3">
        <w:t>] y verificar, a través de ejemplos concretos, su aplicabilidad en la mejora operativa pública [</w:t>
      </w:r>
      <w:r w:rsidR="00965A42" w:rsidRPr="006944B3">
        <w:t>28</w:t>
      </w:r>
      <w:r w:rsidRPr="006944B3">
        <w:t>].</w:t>
      </w:r>
      <w:r w:rsidR="00326E77">
        <w:t xml:space="preserve"> Luego, se tiene e</w:t>
      </w:r>
      <w:r w:rsidRPr="006944B3">
        <w:t>l</w:t>
      </w:r>
      <w:r w:rsidR="00326E77">
        <w:t xml:space="preserve"> grupo</w:t>
      </w:r>
      <w:r w:rsidRPr="006944B3">
        <w:t xml:space="preserve"> azul </w:t>
      </w:r>
      <w:r w:rsidR="00326E77">
        <w:t xml:space="preserve">que </w:t>
      </w:r>
      <w:r w:rsidRPr="006944B3">
        <w:t xml:space="preserve">conecta la dimensión técnica con la de rendición de cuentas; junto al término tecnología aparecen servicios públicos, contabilidad y transparencia, </w:t>
      </w:r>
      <w:r w:rsidR="00326E77">
        <w:t xml:space="preserve">lo que sugiere </w:t>
      </w:r>
      <w:r w:rsidR="00EF193B">
        <w:t>que se debe orientar los enfoques</w:t>
      </w:r>
      <w:r w:rsidRPr="006944B3">
        <w:t xml:space="preserve"> a </w:t>
      </w:r>
      <w:r w:rsidR="00EF193B">
        <w:t xml:space="preserve">mejorar las </w:t>
      </w:r>
      <w:r w:rsidRPr="006944B3">
        <w:t xml:space="preserve">infraestructuras digitales y fortalecer mecanismos de reporte y auditoría [2]. Es decir, los estudios no </w:t>
      </w:r>
      <w:r w:rsidR="00EF193B">
        <w:t>solo describen</w:t>
      </w:r>
      <w:r w:rsidRPr="006944B3">
        <w:t xml:space="preserve"> arquitecturas de blockchain, sino que miden su impacto en la claridad y el acceso a la información dentro de las instituciones del sector público [</w:t>
      </w:r>
      <w:r w:rsidR="003D7130" w:rsidRPr="006944B3">
        <w:t>2</w:t>
      </w:r>
      <w:r w:rsidRPr="006944B3">
        <w:t>4].</w:t>
      </w:r>
    </w:p>
    <w:p w14:paraId="2B3B20DE" w14:textId="1A720350" w:rsidR="00351DF6" w:rsidRPr="006944B3" w:rsidRDefault="00351DF6" w:rsidP="00351DF6">
      <w:pPr>
        <w:spacing w:line="276" w:lineRule="auto"/>
        <w:jc w:val="both"/>
      </w:pPr>
      <w:r w:rsidRPr="006944B3">
        <w:t xml:space="preserve">        </w:t>
      </w:r>
      <w:r w:rsidR="00EF193B">
        <w:t>Posteriormente, se tiene el grupo</w:t>
      </w:r>
      <w:r w:rsidRPr="006944B3">
        <w:t xml:space="preserve"> amarillo</w:t>
      </w:r>
      <w:r w:rsidR="00EF193B">
        <w:t xml:space="preserve"> que</w:t>
      </w:r>
      <w:r w:rsidRPr="006944B3">
        <w:t xml:space="preserve"> agrupa términos como oportunidades, sostenibilidad, impacto y confianza, reflejando una preocupación emergente por vincular la tecnología con los Objetivos de Desarrollo Sostenible (ODS) y con la construcción de vínculos de confianza entre ciudadanía y gobierno [</w:t>
      </w:r>
      <w:r w:rsidR="00DF0882" w:rsidRPr="006944B3">
        <w:t>2</w:t>
      </w:r>
      <w:r w:rsidR="00965A42" w:rsidRPr="006944B3">
        <w:t>9</w:t>
      </w:r>
      <w:r w:rsidRPr="006944B3">
        <w:t>].</w:t>
      </w:r>
      <w:r w:rsidR="00EF193B">
        <w:t xml:space="preserve"> En el último lugar, se tiene e</w:t>
      </w:r>
      <w:r w:rsidRPr="006944B3">
        <w:t>l grupo rojo</w:t>
      </w:r>
      <w:r w:rsidR="00EF193B">
        <w:t xml:space="preserve"> que</w:t>
      </w:r>
      <w:r w:rsidRPr="006944B3">
        <w:t xml:space="preserve"> concentra términos propios de la innovación y el rendimiento tecnológico, como beneficios, información, marco, desempeño e incorporación de IA, </w:t>
      </w:r>
      <w:r w:rsidR="00EF193B">
        <w:t>lo que indica</w:t>
      </w:r>
      <w:r w:rsidRPr="006944B3">
        <w:t xml:space="preserve"> un interés </w:t>
      </w:r>
      <w:r w:rsidR="00EF193B">
        <w:t>en</w:t>
      </w:r>
      <w:r w:rsidRPr="006944B3">
        <w:t xml:space="preserve"> construir un andamiaje teórico robusto y superar obstáculos prácticos para integrar blockchain en modelos de gestión pública [</w:t>
      </w:r>
      <w:r w:rsidR="00DF0882" w:rsidRPr="006944B3">
        <w:t>2</w:t>
      </w:r>
      <w:r w:rsidR="00965A42" w:rsidRPr="006944B3">
        <w:t>9</w:t>
      </w:r>
      <w:r w:rsidRPr="006944B3">
        <w:t>].</w:t>
      </w:r>
    </w:p>
    <w:p w14:paraId="481EF896" w14:textId="7C7F2118" w:rsidR="00351DF6" w:rsidRPr="006944B3" w:rsidRDefault="00351DF6" w:rsidP="00351DF6">
      <w:pPr>
        <w:spacing w:line="276" w:lineRule="auto"/>
        <w:jc w:val="both"/>
      </w:pPr>
      <w:r w:rsidRPr="006944B3">
        <w:t xml:space="preserve">       En la Figura </w:t>
      </w:r>
      <w:r w:rsidR="00F32A49" w:rsidRPr="006944B3">
        <w:t>8</w:t>
      </w:r>
      <w:r w:rsidRPr="006944B3">
        <w:t xml:space="preserve"> se presenta el mapa de coocurrencia de Scopus, donde blockchain aparece como término central de un entramado conceptual compuesto por cinco grupos temáticos que </w:t>
      </w:r>
      <w:r w:rsidRPr="006944B3">
        <w:lastRenderedPageBreak/>
        <w:t>abordan diversas aplicaciones en el sector público.</w:t>
      </w:r>
    </w:p>
    <w:p w14:paraId="34257F12" w14:textId="77777777" w:rsidR="00F32A49" w:rsidRPr="006944B3" w:rsidRDefault="00F32A49" w:rsidP="00351DF6">
      <w:pPr>
        <w:spacing w:line="276" w:lineRule="auto"/>
        <w:jc w:val="both"/>
      </w:pPr>
    </w:p>
    <w:p w14:paraId="452ABDD1" w14:textId="77777777" w:rsidR="00212ADC" w:rsidRPr="006944B3" w:rsidRDefault="00212ADC" w:rsidP="00212ADC">
      <w:pPr>
        <w:keepNext/>
        <w:jc w:val="center"/>
        <w:rPr>
          <w:sz w:val="20"/>
          <w:szCs w:val="20"/>
        </w:rPr>
      </w:pPr>
      <w:r w:rsidRPr="006944B3">
        <w:rPr>
          <w:noProof/>
          <w:sz w:val="20"/>
          <w:szCs w:val="20"/>
        </w:rPr>
        <w:drawing>
          <wp:inline distT="0" distB="0" distL="0" distR="0" wp14:anchorId="5352FE78" wp14:editId="2F3C0E1A">
            <wp:extent cx="4810801" cy="3571900"/>
            <wp:effectExtent l="0" t="0" r="889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BEBA8EAE-BF5A-486C-A8C5-ECC9F3942E4B}">
                          <a14:imgProps xmlns:a14="http://schemas.microsoft.com/office/drawing/2010/main">
                            <a14:imgLayer r:embed="rId26">
                              <a14:imgEffect>
                                <a14:sharpenSoften amount="25000"/>
                              </a14:imgEffect>
                            </a14:imgLayer>
                          </a14:imgProps>
                        </a:ext>
                      </a:extLst>
                    </a:blip>
                    <a:srcRect l="2096" t="1732" r="1494" b="2122"/>
                    <a:stretch/>
                  </pic:blipFill>
                  <pic:spPr bwMode="auto">
                    <a:xfrm>
                      <a:off x="0" y="0"/>
                      <a:ext cx="4874774" cy="3619398"/>
                    </a:xfrm>
                    <a:prstGeom prst="rect">
                      <a:avLst/>
                    </a:prstGeom>
                    <a:ln>
                      <a:noFill/>
                    </a:ln>
                    <a:extLst>
                      <a:ext uri="{53640926-AAD7-44D8-BBD7-CCE9431645EC}">
                        <a14:shadowObscured xmlns:a14="http://schemas.microsoft.com/office/drawing/2010/main"/>
                      </a:ext>
                    </a:extLst>
                  </pic:spPr>
                </pic:pic>
              </a:graphicData>
            </a:graphic>
          </wp:inline>
        </w:drawing>
      </w:r>
    </w:p>
    <w:p w14:paraId="13C0D657" w14:textId="520130F1" w:rsidR="00212ADC" w:rsidRPr="006944B3" w:rsidRDefault="00212ADC" w:rsidP="00212ADC">
      <w:pPr>
        <w:pStyle w:val="Descripcin"/>
        <w:jc w:val="center"/>
        <w:rPr>
          <w:i w:val="0"/>
          <w:iCs w:val="0"/>
          <w:color w:val="auto"/>
          <w:sz w:val="20"/>
          <w:szCs w:val="20"/>
        </w:rPr>
      </w:pPr>
      <w:r w:rsidRPr="006944B3">
        <w:rPr>
          <w:b/>
          <w:bCs/>
          <w:i w:val="0"/>
          <w:iCs w:val="0"/>
          <w:color w:val="auto"/>
          <w:sz w:val="20"/>
          <w:szCs w:val="20"/>
        </w:rPr>
        <w:t xml:space="preserve">Figura </w:t>
      </w:r>
      <w:r w:rsidR="00B433E1">
        <w:rPr>
          <w:b/>
          <w:bCs/>
          <w:i w:val="0"/>
          <w:iCs w:val="0"/>
          <w:color w:val="auto"/>
          <w:sz w:val="20"/>
          <w:szCs w:val="20"/>
        </w:rPr>
        <w:fldChar w:fldCharType="begin"/>
      </w:r>
      <w:r w:rsidR="00B433E1">
        <w:rPr>
          <w:b/>
          <w:bCs/>
          <w:i w:val="0"/>
          <w:iCs w:val="0"/>
          <w:color w:val="auto"/>
          <w:sz w:val="20"/>
          <w:szCs w:val="20"/>
        </w:rPr>
        <w:instrText xml:space="preserve"> SEQ Figura \* ARABIC </w:instrText>
      </w:r>
      <w:r w:rsidR="00B433E1">
        <w:rPr>
          <w:b/>
          <w:bCs/>
          <w:i w:val="0"/>
          <w:iCs w:val="0"/>
          <w:color w:val="auto"/>
          <w:sz w:val="20"/>
          <w:szCs w:val="20"/>
        </w:rPr>
        <w:fldChar w:fldCharType="separate"/>
      </w:r>
      <w:r w:rsidR="00B433E1">
        <w:rPr>
          <w:b/>
          <w:bCs/>
          <w:i w:val="0"/>
          <w:iCs w:val="0"/>
          <w:noProof/>
          <w:color w:val="auto"/>
          <w:sz w:val="20"/>
          <w:szCs w:val="20"/>
        </w:rPr>
        <w:t>8</w:t>
      </w:r>
      <w:r w:rsidR="00B433E1">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Coocurrencia en la base de datos de Scopus</w:t>
      </w:r>
    </w:p>
    <w:p w14:paraId="67EB9228" w14:textId="77777777" w:rsidR="00212ADC" w:rsidRPr="006944B3" w:rsidRDefault="00212ADC" w:rsidP="00212ADC">
      <w:pPr>
        <w:ind w:left="757" w:right="730"/>
        <w:jc w:val="center"/>
      </w:pPr>
      <w:r w:rsidRPr="006944B3">
        <w:rPr>
          <w:b/>
        </w:rPr>
        <w:t>Fuente:</w:t>
      </w:r>
      <w:r w:rsidRPr="006944B3">
        <w:rPr>
          <w:b/>
          <w:spacing w:val="-9"/>
        </w:rPr>
        <w:t xml:space="preserve"> </w:t>
      </w:r>
      <w:r w:rsidRPr="006944B3">
        <w:rPr>
          <w:spacing w:val="-2"/>
        </w:rPr>
        <w:t>Autores.</w:t>
      </w:r>
    </w:p>
    <w:p w14:paraId="6470599D" w14:textId="77777777" w:rsidR="00212ADC" w:rsidRPr="006944B3" w:rsidRDefault="00212ADC" w:rsidP="00351DF6">
      <w:pPr>
        <w:spacing w:line="276" w:lineRule="auto"/>
        <w:jc w:val="both"/>
      </w:pPr>
    </w:p>
    <w:p w14:paraId="3B9EC13D" w14:textId="10AE8382" w:rsidR="00351DF6" w:rsidRPr="006944B3" w:rsidRDefault="00351DF6" w:rsidP="00351DF6">
      <w:pPr>
        <w:spacing w:line="276" w:lineRule="auto"/>
        <w:jc w:val="both"/>
      </w:pPr>
      <w:r w:rsidRPr="006944B3">
        <w:t xml:space="preserve">       </w:t>
      </w:r>
      <w:r w:rsidR="0098598E">
        <w:t>En la anterior figura, se observa que e</w:t>
      </w:r>
      <w:r w:rsidRPr="006944B3">
        <w:t xml:space="preserve">l grupo azul se centra en </w:t>
      </w:r>
      <w:r w:rsidR="0098598E">
        <w:t xml:space="preserve">la </w:t>
      </w:r>
      <w:r w:rsidRPr="006944B3">
        <w:t xml:space="preserve">gestión de </w:t>
      </w:r>
      <w:r w:rsidR="0098598E">
        <w:t xml:space="preserve">la </w:t>
      </w:r>
      <w:r w:rsidRPr="006944B3">
        <w:t xml:space="preserve">información y </w:t>
      </w:r>
      <w:r w:rsidR="0098598E">
        <w:t xml:space="preserve">la </w:t>
      </w:r>
      <w:r w:rsidRPr="006944B3">
        <w:t>administración de tierras, lo que muestra el potencial de blockchain para garantizar la integridad y trazabilidad de registros oficiales, como catastros o expedientes electrónicos [</w:t>
      </w:r>
      <w:r w:rsidR="00FA744A" w:rsidRPr="006944B3">
        <w:t>21</w:t>
      </w:r>
      <w:r w:rsidRPr="006944B3">
        <w:t>], aprovechando su inmutabilidad para minimizar fraudes y agilizar trámites en contextos que exigen alta fiabilidad documental [8].</w:t>
      </w:r>
      <w:r w:rsidR="0098598E">
        <w:t xml:space="preserve"> Después, se encuentra e</w:t>
      </w:r>
      <w:r w:rsidRPr="006944B3">
        <w:t xml:space="preserve">l grupo morado </w:t>
      </w:r>
      <w:r w:rsidR="0098598E">
        <w:t xml:space="preserve">que </w:t>
      </w:r>
      <w:r w:rsidRPr="006944B3">
        <w:t>reúne servicios electrónicos y gobierno electrónico, apuntando a un eje centrado en la modernización de las plataformas de interacción entre el Estado y la ciudadanía [</w:t>
      </w:r>
      <w:r w:rsidR="00965A42" w:rsidRPr="006944B3">
        <w:t>28</w:t>
      </w:r>
      <w:r w:rsidRPr="006944B3">
        <w:t>].</w:t>
      </w:r>
    </w:p>
    <w:p w14:paraId="543AB13F" w14:textId="2BA467F1" w:rsidR="00212ADC" w:rsidRPr="006944B3" w:rsidRDefault="00351DF6" w:rsidP="00EA4445">
      <w:pPr>
        <w:spacing w:line="276" w:lineRule="auto"/>
        <w:jc w:val="both"/>
      </w:pPr>
      <w:r w:rsidRPr="006944B3">
        <w:t xml:space="preserve">       E</w:t>
      </w:r>
      <w:r w:rsidR="0098598E">
        <w:t>n cuanto a</w:t>
      </w:r>
      <w:r w:rsidRPr="006944B3">
        <w:t>l grupo amarillo</w:t>
      </w:r>
      <w:r w:rsidR="0098598E">
        <w:t>, se puede mencionar que este</w:t>
      </w:r>
      <w:r w:rsidRPr="006944B3">
        <w:t xml:space="preserve"> aborda una dimensión técnica, profundizando en lógicas automatizadas para la ejecución de acuerdos, destacando las ventajas de la descentralización en la simplificación de procesos complejos mediante contratos inteligentes [</w:t>
      </w:r>
      <w:r w:rsidR="00965A42" w:rsidRPr="006944B3">
        <w:t>30</w:t>
      </w:r>
      <w:r w:rsidRPr="006944B3">
        <w:t>].</w:t>
      </w:r>
      <w:r w:rsidR="0098598E">
        <w:t xml:space="preserve"> </w:t>
      </w:r>
      <w:r w:rsidRPr="006944B3">
        <w:t xml:space="preserve">Por su parte, el grupo verde conecta términos como </w:t>
      </w:r>
      <w:r w:rsidR="0098598E">
        <w:t xml:space="preserve">la </w:t>
      </w:r>
      <w:r w:rsidRPr="006944B3">
        <w:t xml:space="preserve">gestión de la cadena de suministro, </w:t>
      </w:r>
      <w:r w:rsidR="0098598E">
        <w:t xml:space="preserve">la </w:t>
      </w:r>
      <w:r w:rsidRPr="006944B3">
        <w:t xml:space="preserve">trazabilidad, salud pública, </w:t>
      </w:r>
      <w:r w:rsidR="0098598E">
        <w:t xml:space="preserve">la </w:t>
      </w:r>
      <w:r w:rsidRPr="006944B3">
        <w:t xml:space="preserve">sostenibilidad y </w:t>
      </w:r>
      <w:r w:rsidR="0098598E">
        <w:t xml:space="preserve">la </w:t>
      </w:r>
      <w:r w:rsidRPr="006944B3">
        <w:t>transparencia</w:t>
      </w:r>
      <w:r w:rsidR="00DF0882" w:rsidRPr="006944B3">
        <w:t xml:space="preserve"> [3</w:t>
      </w:r>
      <w:r w:rsidR="00965A42" w:rsidRPr="006944B3">
        <w:t>1</w:t>
      </w:r>
      <w:r w:rsidR="00DF0882" w:rsidRPr="006944B3">
        <w:t>]</w:t>
      </w:r>
      <w:r w:rsidRPr="006944B3">
        <w:t xml:space="preserve">, </w:t>
      </w:r>
      <w:r w:rsidR="0098598E">
        <w:t xml:space="preserve">lo cual </w:t>
      </w:r>
      <w:r w:rsidRPr="006944B3">
        <w:t>refleja aplicaciones diversificadas en sectores clave para el bienestar colectivo [</w:t>
      </w:r>
      <w:r w:rsidR="004E6CA4" w:rsidRPr="006944B3">
        <w:t>3</w:t>
      </w:r>
      <w:r w:rsidR="00965A42" w:rsidRPr="006944B3">
        <w:t>2</w:t>
      </w:r>
      <w:r w:rsidRPr="006944B3">
        <w:t>].</w:t>
      </w:r>
      <w:r w:rsidR="004F6FFC">
        <w:t xml:space="preserve"> </w:t>
      </w:r>
      <w:r w:rsidR="00A41EAE" w:rsidRPr="006944B3">
        <w:t>Por último</w:t>
      </w:r>
      <w:r w:rsidRPr="006944B3">
        <w:t xml:space="preserve">, </w:t>
      </w:r>
      <w:r w:rsidR="004F6FFC">
        <w:t xml:space="preserve">se tiene </w:t>
      </w:r>
      <w:r w:rsidRPr="006944B3">
        <w:t>el grupo rojo engloba términos</w:t>
      </w:r>
      <w:r w:rsidR="004F6FFC">
        <w:t xml:space="preserve"> </w:t>
      </w:r>
      <w:r w:rsidRPr="006944B3">
        <w:t>como</w:t>
      </w:r>
      <w:r w:rsidR="004F6FFC">
        <w:t xml:space="preserve"> la</w:t>
      </w:r>
      <w:r w:rsidRPr="006944B3">
        <w:t xml:space="preserve"> política pública, </w:t>
      </w:r>
      <w:r w:rsidR="004F6FFC">
        <w:t xml:space="preserve">la </w:t>
      </w:r>
      <w:r w:rsidRPr="006944B3">
        <w:t xml:space="preserve">tecnología blockchain, </w:t>
      </w:r>
      <w:r w:rsidR="004F6FFC">
        <w:t xml:space="preserve">la </w:t>
      </w:r>
      <w:r w:rsidRPr="006944B3">
        <w:t xml:space="preserve">gobernanza, </w:t>
      </w:r>
      <w:r w:rsidR="004F6FFC">
        <w:t xml:space="preserve">la </w:t>
      </w:r>
      <w:r w:rsidRPr="006944B3">
        <w:t xml:space="preserve">innovación y </w:t>
      </w:r>
      <w:r w:rsidR="004F6FFC">
        <w:t xml:space="preserve">el </w:t>
      </w:r>
      <w:r w:rsidRPr="006944B3">
        <w:t>caso de estudio, mostrando el interés de la literatura por agrupar hallazgos y definir modelos de gobernanza que permitan la incorporación masiva de esta tecnología en la administración pública [</w:t>
      </w:r>
      <w:r w:rsidR="003D7130" w:rsidRPr="006944B3">
        <w:t>27</w:t>
      </w:r>
      <w:r w:rsidRPr="006944B3">
        <w:t>], evaluando su impacto en términos de innovación y eficiencia.</w:t>
      </w:r>
    </w:p>
    <w:p w14:paraId="3B57D38D" w14:textId="4D5C7B40" w:rsidR="00F32A49" w:rsidRPr="006944B3" w:rsidRDefault="0056247D" w:rsidP="00EA4445">
      <w:pPr>
        <w:spacing w:line="276" w:lineRule="auto"/>
        <w:jc w:val="both"/>
      </w:pPr>
      <w:r w:rsidRPr="006944B3">
        <w:t xml:space="preserve">       </w:t>
      </w:r>
      <w:r w:rsidR="004F6FFC">
        <w:t>Por otra parte, en el</w:t>
      </w:r>
      <w:r w:rsidRPr="006944B3">
        <w:t xml:space="preserve"> análisis del contenido web se enc</w:t>
      </w:r>
      <w:r w:rsidR="004F6FFC">
        <w:t>o</w:t>
      </w:r>
      <w:r w:rsidRPr="006944B3">
        <w:t>ntr</w:t>
      </w:r>
      <w:r w:rsidR="004F6FFC">
        <w:t>ó</w:t>
      </w:r>
      <w:r w:rsidRPr="006944B3">
        <w:t xml:space="preserve"> que</w:t>
      </w:r>
      <w:r w:rsidR="004F6FFC">
        <w:t>,</w:t>
      </w:r>
      <w:r w:rsidRPr="006944B3">
        <w:t xml:space="preserve"> e</w:t>
      </w:r>
      <w:r w:rsidR="00F32A49" w:rsidRPr="006944B3">
        <w:t xml:space="preserve">n los últimos años se ha generado un gran interés en la tecnología blockchain como herramienta para transformar procesos administrativos en el sector público. Su promesa radica en ofrecer registros inmutables, </w:t>
      </w:r>
      <w:r w:rsidR="00F32A49" w:rsidRPr="006944B3">
        <w:lastRenderedPageBreak/>
        <w:t>transacciones transparentes y automatización mediante contratos inteligentes, lo que podría mejorar la eficiencia gubernamental y la confianza ciudadana [</w:t>
      </w:r>
      <w:r w:rsidR="00FA744A" w:rsidRPr="006944B3">
        <w:t>2</w:t>
      </w:r>
      <w:r w:rsidR="004438B7" w:rsidRPr="006944B3">
        <w:t>2</w:t>
      </w:r>
      <w:r w:rsidR="00F32A49" w:rsidRPr="006944B3">
        <w:t>]. La literatura científica sobre blockchain inicialmente se centró en criptomonedas y finanzas, pero desde 2017 ha surgido un cuerpo de estudios que explora usos en servicios públicos y políticas públicas [</w:t>
      </w:r>
      <w:r w:rsidR="00FA744A" w:rsidRPr="006944B3">
        <w:t>2</w:t>
      </w:r>
      <w:r w:rsidR="004438B7" w:rsidRPr="006944B3">
        <w:t>2</w:t>
      </w:r>
      <w:r w:rsidR="006F5257" w:rsidRPr="006944B3">
        <w:t>], [</w:t>
      </w:r>
      <w:r w:rsidR="003D7130" w:rsidRPr="006944B3">
        <w:t>23</w:t>
      </w:r>
      <w:r w:rsidR="00F32A49" w:rsidRPr="006944B3">
        <w:t xml:space="preserve">]. Mediante </w:t>
      </w:r>
      <w:r w:rsidRPr="006944B3">
        <w:t>el</w:t>
      </w:r>
      <w:r w:rsidR="00F32A49" w:rsidRPr="006944B3">
        <w:t xml:space="preserve"> análisis bibliométrico</w:t>
      </w:r>
      <w:r w:rsidRPr="006944B3">
        <w:t xml:space="preserve"> realizado</w:t>
      </w:r>
      <w:r w:rsidR="00F32A49" w:rsidRPr="006944B3">
        <w:t xml:space="preserve"> en Scopus y Web of Science, complementado con búsquedas en Google Académico, se identificaron 35 documentos relevantes (artículos académicos, informes institucionales, normativa y estudios de caso) sobre la aplicación de blockchain en el sector público para el período aproximado 2018–2025.</w:t>
      </w:r>
    </w:p>
    <w:p w14:paraId="335B952D" w14:textId="3870A98F" w:rsidR="00F32A49" w:rsidRPr="006944B3" w:rsidRDefault="0056247D" w:rsidP="00EA4445">
      <w:pPr>
        <w:spacing w:line="276" w:lineRule="auto"/>
        <w:jc w:val="both"/>
      </w:pPr>
      <w:r w:rsidRPr="006944B3">
        <w:t xml:space="preserve">      </w:t>
      </w:r>
      <w:r w:rsidR="00F32A49" w:rsidRPr="006944B3">
        <w:t xml:space="preserve">Los documentos recopilados abarcan artículos científicos, como el estudio de </w:t>
      </w:r>
      <w:r w:rsidR="004774AA" w:rsidRPr="006944B3">
        <w:t>[</w:t>
      </w:r>
      <w:r w:rsidR="00FA744A" w:rsidRPr="006944B3">
        <w:t>21</w:t>
      </w:r>
      <w:r w:rsidR="004774AA" w:rsidRPr="006944B3">
        <w:t xml:space="preserve">] </w:t>
      </w:r>
      <w:r w:rsidR="00F32A49" w:rsidRPr="006944B3">
        <w:t xml:space="preserve">que analiza la implementación de blockchain en Companies House en Reino Unido para mejorar la eficiencia operativa, el análisis empírico de </w:t>
      </w:r>
      <w:r w:rsidR="004774AA" w:rsidRPr="006944B3">
        <w:t>[</w:t>
      </w:r>
      <w:r w:rsidR="00965A42" w:rsidRPr="006944B3">
        <w:t>28</w:t>
      </w:r>
      <w:r w:rsidR="004774AA" w:rsidRPr="006944B3">
        <w:t>]</w:t>
      </w:r>
      <w:r w:rsidR="00F32A49" w:rsidRPr="006944B3">
        <w:t xml:space="preserve"> sobre factores determinantes para la adopción de blockchain en agencias públicas, y la revisión sistemática de </w:t>
      </w:r>
      <w:r w:rsidR="004774AA" w:rsidRPr="006944B3">
        <w:t>[</w:t>
      </w:r>
      <w:r w:rsidR="00FA744A" w:rsidRPr="006944B3">
        <w:t>2</w:t>
      </w:r>
      <w:r w:rsidR="004774AA" w:rsidRPr="006944B3">
        <w:t>2]</w:t>
      </w:r>
      <w:r w:rsidR="00F32A49" w:rsidRPr="006944B3">
        <w:t xml:space="preserve"> que identifica beneficios como eficiencia y trazabilidad y riesgos como incertidumbre regulatoria [</w:t>
      </w:r>
      <w:r w:rsidR="003D7130" w:rsidRPr="006944B3">
        <w:t>27</w:t>
      </w:r>
      <w:r w:rsidR="00F32A49" w:rsidRPr="006944B3">
        <w:t>]. Otros trabajos notables son los marcos de gobernanza propuestos por [</w:t>
      </w:r>
      <w:r w:rsidR="003D7130" w:rsidRPr="006944B3">
        <w:t>24</w:t>
      </w:r>
      <w:r w:rsidR="00F32A49" w:rsidRPr="006944B3">
        <w:t>] y análisis multi-sectoriales como los de</w:t>
      </w:r>
      <w:r w:rsidR="004774AA" w:rsidRPr="006944B3">
        <w:t xml:space="preserve"> </w:t>
      </w:r>
      <w:r w:rsidR="00F32A49" w:rsidRPr="006944B3">
        <w:t>[</w:t>
      </w:r>
      <w:r w:rsidR="003D7130" w:rsidRPr="006944B3">
        <w:t>25</w:t>
      </w:r>
      <w:r w:rsidR="00F32A49" w:rsidRPr="006944B3">
        <w:t>].</w:t>
      </w:r>
    </w:p>
    <w:p w14:paraId="5B76A7BA" w14:textId="5DA6E985" w:rsidR="00F32A49" w:rsidRPr="006944B3" w:rsidRDefault="0056247D" w:rsidP="00EA4445">
      <w:pPr>
        <w:spacing w:line="276" w:lineRule="auto"/>
        <w:jc w:val="both"/>
      </w:pPr>
      <w:r w:rsidRPr="006944B3">
        <w:t xml:space="preserve">      </w:t>
      </w:r>
      <w:r w:rsidR="00F32A49" w:rsidRPr="006944B3">
        <w:t>En informes institucionales se destaca el informe pionero de la OCDE, Blockchains Unchained, sobre los usos potenciales de blockchain en gobiernos [</w:t>
      </w:r>
      <w:r w:rsidR="00FA744A" w:rsidRPr="006944B3">
        <w:t>18</w:t>
      </w:r>
      <w:r w:rsidR="00F32A49" w:rsidRPr="006944B3">
        <w:t>], el estudio del BID titulado Blockchain en la administración pública: ¿Mucho ruido y pocos bloques? [</w:t>
      </w:r>
      <w:r w:rsidR="004E6CA4" w:rsidRPr="006944B3">
        <w:t>32</w:t>
      </w:r>
      <w:r w:rsidR="00F32A49" w:rsidRPr="006944B3">
        <w:t>], y en Colombia la guía elaborada por el Ministerio TIC para adopción estatal de blockchain [2]. También destaca el reporte del Foro Económico Mundial sobre transparencia gubernamental a partir de pilotos en Colombia [1</w:t>
      </w:r>
      <w:r w:rsidR="00AE2D0D" w:rsidRPr="006944B3">
        <w:t>9</w:t>
      </w:r>
      <w:r w:rsidR="00F32A49" w:rsidRPr="006944B3">
        <w:t>]. Reportes técnicos y prensa especializada, como los de ConsenSys sobre la Estrategia Blockchain de Dubái, así como notas de CoinDesk o Cointelegraph, complementaron el análisis con avances prácticos.</w:t>
      </w:r>
    </w:p>
    <w:p w14:paraId="720D763D" w14:textId="402A1AC7" w:rsidR="00F32A49" w:rsidRPr="006944B3" w:rsidRDefault="0056247D" w:rsidP="00EA4445">
      <w:pPr>
        <w:spacing w:line="276" w:lineRule="auto"/>
        <w:jc w:val="both"/>
      </w:pPr>
      <w:r w:rsidRPr="006944B3">
        <w:t xml:space="preserve">      </w:t>
      </w:r>
      <w:r w:rsidR="00F32A49" w:rsidRPr="006944B3">
        <w:t xml:space="preserve">Las aplicaciones de blockchain en el sector público tienden a agruparse en tres categorías: trazabilidad de documentos y transparencia en procesos, seguridad de datos e integridad de la información pública, y automatización de trámites mediante contratos inteligentes. En cuanto a trazabilidad, se destaca que blockchain permite notarizar digitalmente documentos, registrando huellas (hash) inmutables. </w:t>
      </w:r>
      <w:r w:rsidR="004774AA" w:rsidRPr="006944B3">
        <w:t>[17]</w:t>
      </w:r>
      <w:r w:rsidR="00F32A49" w:rsidRPr="006944B3">
        <w:t xml:space="preserve"> demostraron cómo esta práctica mejora la confianza en sectores como el alimentario, con beneficios extrapolables al sector público. </w:t>
      </w:r>
      <w:r w:rsidR="00AE2D0D" w:rsidRPr="006944B3">
        <w:t>[18]</w:t>
      </w:r>
      <w:r w:rsidR="00F32A49" w:rsidRPr="006944B3">
        <w:t xml:space="preserve"> señalaron que la percepción ciudadana mejora con procesos auditables. En Colombia,</w:t>
      </w:r>
      <w:r w:rsidR="00AE2D0D" w:rsidRPr="006944B3">
        <w:t xml:space="preserve"> [19]</w:t>
      </w:r>
      <w:r w:rsidR="00F32A49" w:rsidRPr="006944B3">
        <w:t xml:space="preserve"> documentó el uso de blockchain para monitorear licitaciones del Programa de Alimentación Escolar (PAE), fortaleciendo la participación ciudadana</w:t>
      </w:r>
      <w:r w:rsidR="00AE2D0D" w:rsidRPr="006944B3">
        <w:t xml:space="preserve"> [</w:t>
      </w:r>
      <w:r w:rsidR="004E6CA4" w:rsidRPr="006944B3">
        <w:t>3</w:t>
      </w:r>
      <w:r w:rsidR="00965A42" w:rsidRPr="006944B3">
        <w:t>3</w:t>
      </w:r>
      <w:r w:rsidR="00AE2D0D" w:rsidRPr="006944B3">
        <w:t>]</w:t>
      </w:r>
      <w:r w:rsidR="00F32A49" w:rsidRPr="006944B3">
        <w:t xml:space="preserve">. </w:t>
      </w:r>
      <w:r w:rsidR="00AE2D0D" w:rsidRPr="006944B3">
        <w:t xml:space="preserve">[21] </w:t>
      </w:r>
      <w:r w:rsidR="00F32A49" w:rsidRPr="006944B3">
        <w:t xml:space="preserve">analizaron registros de tierras en India con resultados positivos en trazabilidad, mientras </w:t>
      </w:r>
      <w:r w:rsidR="00AE2D0D" w:rsidRPr="006944B3">
        <w:t>[22]</w:t>
      </w:r>
      <w:r w:rsidR="00F32A49" w:rsidRPr="006944B3">
        <w:t xml:space="preserve"> mostraron aplicaciones exitosas en Serbia para asegurar transacciones inmobiliarias.</w:t>
      </w:r>
    </w:p>
    <w:p w14:paraId="6ECF8F37" w14:textId="7215A8E8" w:rsidR="00A41EAE" w:rsidRDefault="0056247D" w:rsidP="00A41EAE">
      <w:pPr>
        <w:spacing w:line="276" w:lineRule="auto"/>
        <w:jc w:val="both"/>
      </w:pPr>
      <w:r w:rsidRPr="006944B3">
        <w:t xml:space="preserve">      </w:t>
      </w:r>
      <w:r w:rsidR="00F32A49" w:rsidRPr="006944B3">
        <w:t>La Tabla 4 resume tres casos representativos en Iberoamérica: ChileCompra, que utiliza blockchain pública Ethereum para generar hash de órdenes de compra [</w:t>
      </w:r>
      <w:r w:rsidR="004E6CA4" w:rsidRPr="006944B3">
        <w:t>3</w:t>
      </w:r>
      <w:r w:rsidR="00965A42" w:rsidRPr="006944B3">
        <w:t>3</w:t>
      </w:r>
      <w:r w:rsidR="00F32A49" w:rsidRPr="006944B3">
        <w:t>]; el Municipio de Bahía Blanca en Argentina, que aplica contratos inteligentes para subsidios culturales [</w:t>
      </w:r>
      <w:r w:rsidR="004E6CA4" w:rsidRPr="006944B3">
        <w:t>3</w:t>
      </w:r>
      <w:r w:rsidR="00965A42" w:rsidRPr="006944B3">
        <w:t>3</w:t>
      </w:r>
      <w:r w:rsidR="00F32A49" w:rsidRPr="006944B3">
        <w:t>]; y el programa PAE en Colombia, que usa software anclado a blockchain para monitorear licitaciones [1</w:t>
      </w:r>
      <w:r w:rsidR="00AE2D0D" w:rsidRPr="006944B3">
        <w:t>9</w:t>
      </w:r>
      <w:r w:rsidR="00F32A49" w:rsidRPr="006944B3">
        <w:t>]. En todos, la tecnología permitió auditoría ciudadana y trazabilidad confiable, aunque enfrentaron desafíos como la necesidad de ajustes normativos, digitalización previa de archivos y marcos legales claros.</w:t>
      </w:r>
    </w:p>
    <w:p w14:paraId="43FDBEEC" w14:textId="78923A46" w:rsidR="008134AD" w:rsidRDefault="008134AD" w:rsidP="00A41EAE">
      <w:pPr>
        <w:spacing w:line="276" w:lineRule="auto"/>
        <w:jc w:val="both"/>
      </w:pPr>
    </w:p>
    <w:p w14:paraId="1CD287C4" w14:textId="77777777" w:rsidR="008134AD" w:rsidRPr="006944B3" w:rsidRDefault="008134AD" w:rsidP="00A41EAE">
      <w:pPr>
        <w:spacing w:line="276" w:lineRule="auto"/>
        <w:jc w:val="both"/>
      </w:pPr>
    </w:p>
    <w:p w14:paraId="5736F303" w14:textId="04343E4B" w:rsidR="008134AD" w:rsidRPr="008134AD" w:rsidRDefault="00A41EAE" w:rsidP="008134AD">
      <w:pPr>
        <w:pStyle w:val="Descripcin"/>
        <w:keepNext/>
        <w:jc w:val="center"/>
        <w:rPr>
          <w:i w:val="0"/>
          <w:iCs w:val="0"/>
          <w:color w:val="auto"/>
          <w:sz w:val="20"/>
          <w:szCs w:val="20"/>
        </w:rPr>
      </w:pPr>
      <w:r w:rsidRPr="006944B3">
        <w:rPr>
          <w:b/>
          <w:bCs/>
          <w:i w:val="0"/>
          <w:iCs w:val="0"/>
          <w:color w:val="auto"/>
          <w:sz w:val="20"/>
          <w:szCs w:val="20"/>
        </w:rPr>
        <w:lastRenderedPageBreak/>
        <w:t xml:space="preserve">Tabla </w:t>
      </w:r>
      <w:r w:rsidRPr="006944B3">
        <w:rPr>
          <w:b/>
          <w:bCs/>
          <w:i w:val="0"/>
          <w:iCs w:val="0"/>
          <w:color w:val="auto"/>
          <w:sz w:val="20"/>
          <w:szCs w:val="20"/>
        </w:rPr>
        <w:fldChar w:fldCharType="begin"/>
      </w:r>
      <w:r w:rsidRPr="006944B3">
        <w:rPr>
          <w:b/>
          <w:bCs/>
          <w:i w:val="0"/>
          <w:iCs w:val="0"/>
          <w:color w:val="auto"/>
          <w:sz w:val="20"/>
          <w:szCs w:val="20"/>
        </w:rPr>
        <w:instrText xml:space="preserve"> SEQ Tabla \* ARABIC </w:instrText>
      </w:r>
      <w:r w:rsidRPr="006944B3">
        <w:rPr>
          <w:b/>
          <w:bCs/>
          <w:i w:val="0"/>
          <w:iCs w:val="0"/>
          <w:color w:val="auto"/>
          <w:sz w:val="20"/>
          <w:szCs w:val="20"/>
        </w:rPr>
        <w:fldChar w:fldCharType="separate"/>
      </w:r>
      <w:r w:rsidR="00B433E1">
        <w:rPr>
          <w:b/>
          <w:bCs/>
          <w:i w:val="0"/>
          <w:iCs w:val="0"/>
          <w:noProof/>
          <w:color w:val="auto"/>
          <w:sz w:val="20"/>
          <w:szCs w:val="20"/>
        </w:rPr>
        <w:t>4</w:t>
      </w:r>
      <w:r w:rsidRPr="006944B3">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Casos de uso de blockchain en la administración pública</w:t>
      </w:r>
      <w:bookmarkStart w:id="4" w:name="_GoBack"/>
      <w:bookmarkEnd w:id="4"/>
    </w:p>
    <w:tbl>
      <w:tblPr>
        <w:tblStyle w:val="Tablaconcuadrcula"/>
        <w:tblW w:w="0" w:type="auto"/>
        <w:tblLook w:val="04A0" w:firstRow="1" w:lastRow="0" w:firstColumn="1" w:lastColumn="0" w:noHBand="0" w:noVBand="1"/>
      </w:tblPr>
      <w:tblGrid>
        <w:gridCol w:w="1575"/>
        <w:gridCol w:w="2428"/>
        <w:gridCol w:w="2392"/>
        <w:gridCol w:w="2915"/>
      </w:tblGrid>
      <w:tr w:rsidR="00965A42" w:rsidRPr="006944B3" w14:paraId="7ECDDB65" w14:textId="77777777" w:rsidTr="00A41EAE">
        <w:tc>
          <w:tcPr>
            <w:tcW w:w="0" w:type="auto"/>
            <w:hideMark/>
          </w:tcPr>
          <w:p w14:paraId="2BB6263F" w14:textId="010BA94B" w:rsidR="00A41EAE" w:rsidRPr="006944B3" w:rsidRDefault="00A41EAE" w:rsidP="00A41EAE">
            <w:pPr>
              <w:pStyle w:val="TableParagraph"/>
              <w:spacing w:line="276" w:lineRule="auto"/>
              <w:ind w:left="0" w:firstLine="0"/>
              <w:rPr>
                <w:b/>
                <w:bCs/>
                <w:sz w:val="18"/>
                <w:szCs w:val="18"/>
                <w:lang w:eastAsia="en-GB"/>
              </w:rPr>
            </w:pPr>
            <w:r w:rsidRPr="006944B3">
              <w:rPr>
                <w:b/>
                <w:bCs/>
                <w:sz w:val="18"/>
                <w:szCs w:val="18"/>
                <w:lang w:eastAsia="en-GB"/>
              </w:rPr>
              <w:t>ÍTEM</w:t>
            </w:r>
          </w:p>
        </w:tc>
        <w:tc>
          <w:tcPr>
            <w:tcW w:w="0" w:type="auto"/>
            <w:hideMark/>
          </w:tcPr>
          <w:p w14:paraId="05E5FCB5" w14:textId="02B86ACB" w:rsidR="00A41EAE" w:rsidRPr="006944B3" w:rsidRDefault="00A41EAE" w:rsidP="00A41EAE">
            <w:pPr>
              <w:pStyle w:val="TableParagraph"/>
              <w:spacing w:line="276" w:lineRule="auto"/>
              <w:ind w:left="0" w:firstLine="0"/>
              <w:rPr>
                <w:b/>
                <w:bCs/>
                <w:sz w:val="18"/>
                <w:szCs w:val="18"/>
                <w:lang w:eastAsia="en-GB"/>
              </w:rPr>
            </w:pPr>
            <w:r w:rsidRPr="006944B3">
              <w:rPr>
                <w:b/>
                <w:bCs/>
                <w:sz w:val="18"/>
                <w:szCs w:val="18"/>
                <w:lang w:eastAsia="en-GB"/>
              </w:rPr>
              <w:t>CHILE</w:t>
            </w:r>
          </w:p>
        </w:tc>
        <w:tc>
          <w:tcPr>
            <w:tcW w:w="0" w:type="auto"/>
            <w:hideMark/>
          </w:tcPr>
          <w:p w14:paraId="631C599C" w14:textId="3F2D5BF8" w:rsidR="00A41EAE" w:rsidRPr="006944B3" w:rsidRDefault="00A41EAE" w:rsidP="00A41EAE">
            <w:pPr>
              <w:pStyle w:val="TableParagraph"/>
              <w:spacing w:line="276" w:lineRule="auto"/>
              <w:ind w:left="0" w:firstLine="0"/>
              <w:rPr>
                <w:b/>
                <w:bCs/>
                <w:sz w:val="18"/>
                <w:szCs w:val="18"/>
                <w:lang w:eastAsia="en-GB"/>
              </w:rPr>
            </w:pPr>
            <w:r w:rsidRPr="006944B3">
              <w:rPr>
                <w:b/>
                <w:bCs/>
                <w:sz w:val="18"/>
                <w:szCs w:val="18"/>
                <w:lang w:eastAsia="en-GB"/>
              </w:rPr>
              <w:t>ARGENTINA</w:t>
            </w:r>
          </w:p>
        </w:tc>
        <w:tc>
          <w:tcPr>
            <w:tcW w:w="0" w:type="auto"/>
            <w:hideMark/>
          </w:tcPr>
          <w:p w14:paraId="51A695CE" w14:textId="6317FDD3" w:rsidR="00A41EAE" w:rsidRPr="006944B3" w:rsidRDefault="00A41EAE" w:rsidP="00A41EAE">
            <w:pPr>
              <w:pStyle w:val="TableParagraph"/>
              <w:spacing w:line="276" w:lineRule="auto"/>
              <w:ind w:left="0" w:firstLine="0"/>
              <w:rPr>
                <w:b/>
                <w:bCs/>
                <w:sz w:val="18"/>
                <w:szCs w:val="18"/>
                <w:lang w:eastAsia="en-GB"/>
              </w:rPr>
            </w:pPr>
            <w:r w:rsidRPr="006944B3">
              <w:rPr>
                <w:b/>
                <w:bCs/>
                <w:sz w:val="18"/>
                <w:szCs w:val="18"/>
                <w:lang w:eastAsia="en-GB"/>
              </w:rPr>
              <w:t>COLOMBIA</w:t>
            </w:r>
          </w:p>
        </w:tc>
      </w:tr>
      <w:tr w:rsidR="004438B7" w:rsidRPr="006944B3" w14:paraId="52DBD94A" w14:textId="77777777" w:rsidTr="00A41EAE">
        <w:tc>
          <w:tcPr>
            <w:tcW w:w="0" w:type="auto"/>
            <w:vAlign w:val="center"/>
            <w:hideMark/>
          </w:tcPr>
          <w:p w14:paraId="3A66B08C"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Entidad o programa</w:t>
            </w:r>
          </w:p>
        </w:tc>
        <w:tc>
          <w:tcPr>
            <w:tcW w:w="0" w:type="auto"/>
            <w:hideMark/>
          </w:tcPr>
          <w:p w14:paraId="108FB245"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ChileCompra (portal de compras públicas)</w:t>
            </w:r>
          </w:p>
        </w:tc>
        <w:tc>
          <w:tcPr>
            <w:tcW w:w="0" w:type="auto"/>
            <w:hideMark/>
          </w:tcPr>
          <w:p w14:paraId="73B6B883"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Municipio de Bahía Blanca – Fondo Municipal de las Artes</w:t>
            </w:r>
          </w:p>
        </w:tc>
        <w:tc>
          <w:tcPr>
            <w:tcW w:w="0" w:type="auto"/>
            <w:hideMark/>
          </w:tcPr>
          <w:p w14:paraId="43D16350"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Procuraduría General de la Nación – Programa de Alimentación Escolar (PAE)</w:t>
            </w:r>
          </w:p>
        </w:tc>
      </w:tr>
      <w:tr w:rsidR="004438B7" w:rsidRPr="006944B3" w14:paraId="14C8F1A4" w14:textId="77777777" w:rsidTr="00A41EAE">
        <w:tc>
          <w:tcPr>
            <w:tcW w:w="0" w:type="auto"/>
            <w:vAlign w:val="center"/>
            <w:hideMark/>
          </w:tcPr>
          <w:p w14:paraId="572BD4EE"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Año de implementación</w:t>
            </w:r>
          </w:p>
        </w:tc>
        <w:tc>
          <w:tcPr>
            <w:tcW w:w="0" w:type="auto"/>
            <w:hideMark/>
          </w:tcPr>
          <w:p w14:paraId="4794A1A0" w14:textId="77777777" w:rsidR="00A41EAE" w:rsidRPr="006944B3" w:rsidRDefault="00A41EAE" w:rsidP="00A41EAE">
            <w:pPr>
              <w:pStyle w:val="TableParagraph"/>
              <w:spacing w:line="276" w:lineRule="auto"/>
              <w:ind w:firstLine="0"/>
              <w:jc w:val="both"/>
              <w:rPr>
                <w:sz w:val="18"/>
                <w:szCs w:val="18"/>
                <w:lang w:eastAsia="en-GB"/>
              </w:rPr>
            </w:pPr>
            <w:r w:rsidRPr="006944B3">
              <w:rPr>
                <w:sz w:val="18"/>
                <w:szCs w:val="18"/>
                <w:lang w:eastAsia="en-GB"/>
              </w:rPr>
              <w:t>2018</w:t>
            </w:r>
          </w:p>
        </w:tc>
        <w:tc>
          <w:tcPr>
            <w:tcW w:w="0" w:type="auto"/>
            <w:hideMark/>
          </w:tcPr>
          <w:p w14:paraId="2C0957EF"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2017</w:t>
            </w:r>
          </w:p>
        </w:tc>
        <w:tc>
          <w:tcPr>
            <w:tcW w:w="0" w:type="auto"/>
            <w:hideMark/>
          </w:tcPr>
          <w:p w14:paraId="7D7F395F"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2020</w:t>
            </w:r>
          </w:p>
        </w:tc>
      </w:tr>
      <w:tr w:rsidR="004438B7" w:rsidRPr="006944B3" w14:paraId="0FB33EE9" w14:textId="77777777" w:rsidTr="00A41EAE">
        <w:tc>
          <w:tcPr>
            <w:tcW w:w="0" w:type="auto"/>
            <w:vAlign w:val="center"/>
            <w:hideMark/>
          </w:tcPr>
          <w:p w14:paraId="7BEAEB6E"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Tecnología</w:t>
            </w:r>
          </w:p>
        </w:tc>
        <w:tc>
          <w:tcPr>
            <w:tcW w:w="0" w:type="auto"/>
            <w:hideMark/>
          </w:tcPr>
          <w:p w14:paraId="7E56C668" w14:textId="0C5D815F"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Blockchain pública de Ethereum para generar hash criptográficos de órdenes de compra, con interfaz web pública de verificación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r w:rsidRPr="006944B3">
              <w:rPr>
                <w:sz w:val="18"/>
                <w:szCs w:val="18"/>
                <w:lang w:eastAsia="en-GB"/>
              </w:rPr>
              <w:t>.</w:t>
            </w:r>
          </w:p>
        </w:tc>
        <w:tc>
          <w:tcPr>
            <w:tcW w:w="0" w:type="auto"/>
            <w:hideMark/>
          </w:tcPr>
          <w:p w14:paraId="62066FE7" w14:textId="1C25EE3F"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Ethereum para certificar etapas del proceso de subsidios culturales: asignación, desembolso y verificación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p>
        </w:tc>
        <w:tc>
          <w:tcPr>
            <w:tcW w:w="0" w:type="auto"/>
            <w:hideMark/>
          </w:tcPr>
          <w:p w14:paraId="2BFFCEF4" w14:textId="68E60212"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Software de monitoreo anclado a blockchain con acceso ciudadano supervisado; cooperación entre BID, Procuraduría, Universidad Nacional y el WEF </w:t>
            </w:r>
            <w:r w:rsidR="008141C1" w:rsidRPr="006944B3">
              <w:rPr>
                <w:sz w:val="18"/>
                <w:szCs w:val="18"/>
                <w:lang w:eastAsia="en-GB"/>
              </w:rPr>
              <w:t>[1</w:t>
            </w:r>
            <w:r w:rsidR="00AE2D0D" w:rsidRPr="006944B3">
              <w:rPr>
                <w:sz w:val="18"/>
                <w:szCs w:val="18"/>
                <w:lang w:eastAsia="en-GB"/>
              </w:rPr>
              <w:t>9</w:t>
            </w:r>
            <w:r w:rsidR="008141C1" w:rsidRPr="006944B3">
              <w:rPr>
                <w:sz w:val="18"/>
                <w:szCs w:val="18"/>
                <w:lang w:eastAsia="en-GB"/>
              </w:rPr>
              <w:t>].</w:t>
            </w:r>
          </w:p>
        </w:tc>
      </w:tr>
      <w:tr w:rsidR="004438B7" w:rsidRPr="006944B3" w14:paraId="27E25DB7" w14:textId="77777777" w:rsidTr="00A41EAE">
        <w:tc>
          <w:tcPr>
            <w:tcW w:w="0" w:type="auto"/>
            <w:vAlign w:val="center"/>
            <w:hideMark/>
          </w:tcPr>
          <w:p w14:paraId="6A812312"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Objetivo</w:t>
            </w:r>
          </w:p>
        </w:tc>
        <w:tc>
          <w:tcPr>
            <w:tcW w:w="0" w:type="auto"/>
            <w:hideMark/>
          </w:tcPr>
          <w:p w14:paraId="772B4CBE" w14:textId="6FBB1BFA"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Certificar y asegurar la integridad de las órdenes de compra, permitiendo auditoría ciudadana en tiempo real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p>
        </w:tc>
        <w:tc>
          <w:tcPr>
            <w:tcW w:w="0" w:type="auto"/>
            <w:hideMark/>
          </w:tcPr>
          <w:p w14:paraId="532C01BE" w14:textId="6B79AB3C" w:rsidR="00A41EAE" w:rsidRPr="006944B3" w:rsidRDefault="00A41EAE" w:rsidP="00A41EAE">
            <w:pPr>
              <w:pStyle w:val="TableParagraph"/>
              <w:spacing w:line="276" w:lineRule="auto"/>
              <w:ind w:firstLine="0"/>
              <w:jc w:val="both"/>
              <w:rPr>
                <w:sz w:val="18"/>
                <w:szCs w:val="18"/>
                <w:lang w:eastAsia="en-GB"/>
              </w:rPr>
            </w:pPr>
            <w:r w:rsidRPr="006944B3">
              <w:rPr>
                <w:sz w:val="18"/>
                <w:szCs w:val="18"/>
                <w:lang w:eastAsia="en-GB"/>
              </w:rPr>
              <w:t xml:space="preserve">Transparentar el otorgamiento de subsidios, asegurar trazabilidad y prevenir fraudes mediante contratos inteligentes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p>
        </w:tc>
        <w:tc>
          <w:tcPr>
            <w:tcW w:w="0" w:type="auto"/>
            <w:hideMark/>
          </w:tcPr>
          <w:p w14:paraId="5A4BC571" w14:textId="6924C2B3"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Transparentar licitaciones del PAE y permitir veeduría ciudadana digital para frenar la corrupción </w:t>
            </w:r>
            <w:r w:rsidR="008141C1" w:rsidRPr="006944B3">
              <w:rPr>
                <w:sz w:val="18"/>
                <w:szCs w:val="18"/>
                <w:lang w:eastAsia="en-GB"/>
              </w:rPr>
              <w:t>[1</w:t>
            </w:r>
            <w:r w:rsidR="00AE2D0D" w:rsidRPr="006944B3">
              <w:rPr>
                <w:sz w:val="18"/>
                <w:szCs w:val="18"/>
                <w:lang w:eastAsia="en-GB"/>
              </w:rPr>
              <w:t>9</w:t>
            </w:r>
            <w:r w:rsidR="008141C1" w:rsidRPr="006944B3">
              <w:rPr>
                <w:sz w:val="18"/>
                <w:szCs w:val="18"/>
                <w:lang w:eastAsia="en-GB"/>
              </w:rPr>
              <w:t>].</w:t>
            </w:r>
          </w:p>
        </w:tc>
      </w:tr>
      <w:tr w:rsidR="004438B7" w:rsidRPr="006944B3" w14:paraId="6D43F14F" w14:textId="77777777" w:rsidTr="00A41EAE">
        <w:tc>
          <w:tcPr>
            <w:tcW w:w="0" w:type="auto"/>
            <w:vAlign w:val="center"/>
            <w:hideMark/>
          </w:tcPr>
          <w:p w14:paraId="3231EAE8"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Resultados</w:t>
            </w:r>
          </w:p>
        </w:tc>
        <w:tc>
          <w:tcPr>
            <w:tcW w:w="0" w:type="auto"/>
            <w:hideMark/>
          </w:tcPr>
          <w:p w14:paraId="400D8D50" w14:textId="79D33DB8"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Éxito del piloto con posibilidad de escalar la solución a otras áreas de contratación pública; trazabilidad confiable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p>
        </w:tc>
        <w:tc>
          <w:tcPr>
            <w:tcW w:w="0" w:type="auto"/>
            <w:hideMark/>
          </w:tcPr>
          <w:p w14:paraId="62F31764" w14:textId="6D36B765"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Registro inmutable de beneficiarios, montos y fechas; confianza ciudadana aumentada; prevención de doble asignación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p>
        </w:tc>
        <w:tc>
          <w:tcPr>
            <w:tcW w:w="0" w:type="auto"/>
            <w:hideMark/>
          </w:tcPr>
          <w:p w14:paraId="22D555A9" w14:textId="4FFE6D3A" w:rsidR="00A41EAE" w:rsidRPr="006944B3" w:rsidRDefault="00A41EAE" w:rsidP="00A41EAE">
            <w:pPr>
              <w:pStyle w:val="TableParagraph"/>
              <w:spacing w:line="276" w:lineRule="auto"/>
              <w:ind w:firstLine="0"/>
              <w:jc w:val="both"/>
              <w:rPr>
                <w:sz w:val="18"/>
                <w:szCs w:val="18"/>
                <w:lang w:eastAsia="en-GB"/>
              </w:rPr>
            </w:pPr>
            <w:r w:rsidRPr="006944B3">
              <w:rPr>
                <w:sz w:val="18"/>
                <w:szCs w:val="18"/>
                <w:lang w:eastAsia="en-GB"/>
              </w:rPr>
              <w:t xml:space="preserve">El piloto fue bien recibido, pero estaba en fase de prueba de concepto en 2020; reconocido por el WEF como innovación prometedora </w:t>
            </w:r>
            <w:r w:rsidR="008141C1" w:rsidRPr="006944B3">
              <w:rPr>
                <w:sz w:val="18"/>
                <w:szCs w:val="18"/>
                <w:lang w:eastAsia="en-GB"/>
              </w:rPr>
              <w:t>[1</w:t>
            </w:r>
            <w:r w:rsidR="00AE2D0D" w:rsidRPr="006944B3">
              <w:rPr>
                <w:sz w:val="18"/>
                <w:szCs w:val="18"/>
                <w:lang w:eastAsia="en-GB"/>
              </w:rPr>
              <w:t>9</w:t>
            </w:r>
            <w:r w:rsidR="008141C1" w:rsidRPr="006944B3">
              <w:rPr>
                <w:sz w:val="18"/>
                <w:szCs w:val="18"/>
                <w:lang w:eastAsia="en-GB"/>
              </w:rPr>
              <w:t>].</w:t>
            </w:r>
          </w:p>
        </w:tc>
      </w:tr>
      <w:tr w:rsidR="004438B7" w:rsidRPr="006944B3" w14:paraId="3E6850AA" w14:textId="77777777" w:rsidTr="00A41EAE">
        <w:tc>
          <w:tcPr>
            <w:tcW w:w="0" w:type="auto"/>
            <w:vAlign w:val="center"/>
            <w:hideMark/>
          </w:tcPr>
          <w:p w14:paraId="628D5763" w14:textId="77777777" w:rsidR="00A41EAE" w:rsidRPr="006944B3" w:rsidRDefault="00A41EAE" w:rsidP="00A41EAE">
            <w:pPr>
              <w:pStyle w:val="TableParagraph"/>
              <w:spacing w:line="276" w:lineRule="auto"/>
              <w:ind w:firstLine="0"/>
              <w:jc w:val="both"/>
              <w:rPr>
                <w:sz w:val="18"/>
                <w:szCs w:val="18"/>
                <w:lang w:eastAsia="en-GB"/>
              </w:rPr>
            </w:pPr>
            <w:r w:rsidRPr="006944B3">
              <w:rPr>
                <w:sz w:val="18"/>
                <w:szCs w:val="18"/>
                <w:lang w:eastAsia="en-GB"/>
              </w:rPr>
              <w:t>Ventajas</w:t>
            </w:r>
          </w:p>
        </w:tc>
        <w:tc>
          <w:tcPr>
            <w:tcW w:w="0" w:type="auto"/>
            <w:hideMark/>
          </w:tcPr>
          <w:p w14:paraId="635E5C2F" w14:textId="7E1D366B"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Registro inmutable, auditoría externa, fortalecimiento de rendición de cuentas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p>
        </w:tc>
        <w:tc>
          <w:tcPr>
            <w:tcW w:w="0" w:type="auto"/>
            <w:hideMark/>
          </w:tcPr>
          <w:p w14:paraId="36037481" w14:textId="4AE6C104"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Auditoría comunitaria en tiempo real, participación ciudadana fortalecida, prevención automatizada de fraudes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p>
        </w:tc>
        <w:tc>
          <w:tcPr>
            <w:tcW w:w="0" w:type="auto"/>
            <w:hideMark/>
          </w:tcPr>
          <w:p w14:paraId="3D995540" w14:textId="1E08E451"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Supervisión distribuida, confianza institucional, disuasión de la corrupción mediante trazabilidad pública </w:t>
            </w:r>
            <w:r w:rsidR="008141C1" w:rsidRPr="006944B3">
              <w:rPr>
                <w:sz w:val="18"/>
                <w:szCs w:val="18"/>
                <w:lang w:eastAsia="en-GB"/>
              </w:rPr>
              <w:t>[1</w:t>
            </w:r>
            <w:r w:rsidR="00AE2D0D" w:rsidRPr="006944B3">
              <w:rPr>
                <w:sz w:val="18"/>
                <w:szCs w:val="18"/>
                <w:lang w:eastAsia="en-GB"/>
              </w:rPr>
              <w:t>9</w:t>
            </w:r>
            <w:r w:rsidR="008141C1" w:rsidRPr="006944B3">
              <w:rPr>
                <w:sz w:val="18"/>
                <w:szCs w:val="18"/>
                <w:lang w:eastAsia="en-GB"/>
              </w:rPr>
              <w:t>].</w:t>
            </w:r>
          </w:p>
        </w:tc>
      </w:tr>
      <w:tr w:rsidR="004438B7" w:rsidRPr="006944B3" w14:paraId="0343E114" w14:textId="77777777" w:rsidTr="00A41EAE">
        <w:tc>
          <w:tcPr>
            <w:tcW w:w="0" w:type="auto"/>
            <w:vAlign w:val="center"/>
            <w:hideMark/>
          </w:tcPr>
          <w:p w14:paraId="42EB707C" w14:textId="77777777"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Limitaciones</w:t>
            </w:r>
          </w:p>
        </w:tc>
        <w:tc>
          <w:tcPr>
            <w:tcW w:w="0" w:type="auto"/>
            <w:hideMark/>
          </w:tcPr>
          <w:p w14:paraId="5D472002" w14:textId="24A82B1A"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Necesidad de ajustes normativos para dar validez legal a registros blockchain; capacitación tecnológica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p>
        </w:tc>
        <w:tc>
          <w:tcPr>
            <w:tcW w:w="0" w:type="auto"/>
            <w:hideMark/>
          </w:tcPr>
          <w:p w14:paraId="0CA3DA33" w14:textId="198375BD"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Requerimientos previos: digitalización de archivos, firma electrónica, infraestructura mínima y voluntad política </w:t>
            </w:r>
            <w:r w:rsidR="008141C1"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8141C1" w:rsidRPr="006944B3">
              <w:rPr>
                <w:sz w:val="18"/>
                <w:szCs w:val="18"/>
                <w:lang w:eastAsia="en-GB"/>
              </w:rPr>
              <w:t>].</w:t>
            </w:r>
          </w:p>
        </w:tc>
        <w:tc>
          <w:tcPr>
            <w:tcW w:w="0" w:type="auto"/>
            <w:hideMark/>
          </w:tcPr>
          <w:p w14:paraId="04F69878" w14:textId="67560E69" w:rsidR="00A41EAE" w:rsidRPr="006944B3" w:rsidRDefault="00A41EAE" w:rsidP="00A41EAE">
            <w:pPr>
              <w:pStyle w:val="TableParagraph"/>
              <w:spacing w:line="276" w:lineRule="auto"/>
              <w:ind w:left="0" w:firstLine="0"/>
              <w:jc w:val="both"/>
              <w:rPr>
                <w:sz w:val="18"/>
                <w:szCs w:val="18"/>
                <w:lang w:eastAsia="en-GB"/>
              </w:rPr>
            </w:pPr>
            <w:r w:rsidRPr="006944B3">
              <w:rPr>
                <w:sz w:val="18"/>
                <w:szCs w:val="18"/>
                <w:lang w:eastAsia="en-GB"/>
              </w:rPr>
              <w:t xml:space="preserve">Obstáculos legales (validez jurídica de blockchain), falta de interoperabilidad con plataformas como SECOP, y ausencia de marco legal para veeduría ciudadana digital </w:t>
            </w:r>
            <w:r w:rsidR="008141C1" w:rsidRPr="006944B3">
              <w:rPr>
                <w:sz w:val="18"/>
                <w:szCs w:val="18"/>
                <w:lang w:eastAsia="en-GB"/>
              </w:rPr>
              <w:t>[1</w:t>
            </w:r>
            <w:r w:rsidR="00AE2D0D" w:rsidRPr="006944B3">
              <w:rPr>
                <w:sz w:val="18"/>
                <w:szCs w:val="18"/>
                <w:lang w:eastAsia="en-GB"/>
              </w:rPr>
              <w:t>9</w:t>
            </w:r>
            <w:r w:rsidR="008141C1" w:rsidRPr="006944B3">
              <w:rPr>
                <w:sz w:val="18"/>
                <w:szCs w:val="18"/>
                <w:lang w:eastAsia="en-GB"/>
              </w:rPr>
              <w:t>].</w:t>
            </w:r>
          </w:p>
        </w:tc>
      </w:tr>
    </w:tbl>
    <w:p w14:paraId="6547F44C" w14:textId="0A904C62" w:rsidR="00A41EAE" w:rsidRPr="006944B3" w:rsidRDefault="00A41EAE" w:rsidP="00A41EAE">
      <w:pPr>
        <w:spacing w:before="139" w:after="240"/>
        <w:ind w:left="757" w:right="730"/>
        <w:jc w:val="center"/>
        <w:rPr>
          <w:spacing w:val="-2"/>
        </w:rPr>
      </w:pPr>
      <w:r w:rsidRPr="006944B3">
        <w:rPr>
          <w:b/>
        </w:rPr>
        <w:t>Fuente:</w:t>
      </w:r>
      <w:r w:rsidRPr="006944B3">
        <w:rPr>
          <w:b/>
          <w:spacing w:val="-9"/>
        </w:rPr>
        <w:t xml:space="preserve"> </w:t>
      </w:r>
      <w:r w:rsidRPr="006944B3">
        <w:rPr>
          <w:spacing w:val="-2"/>
        </w:rPr>
        <w:t>Autores.</w:t>
      </w:r>
    </w:p>
    <w:p w14:paraId="42475A4B" w14:textId="3DD1F14C" w:rsidR="00F32A49" w:rsidRPr="006944B3" w:rsidRDefault="0056247D" w:rsidP="00EA4445">
      <w:pPr>
        <w:spacing w:line="276" w:lineRule="auto"/>
        <w:jc w:val="both"/>
      </w:pPr>
      <w:r w:rsidRPr="006944B3">
        <w:t xml:space="preserve">      </w:t>
      </w:r>
      <w:r w:rsidR="00F32A49" w:rsidRPr="006944B3">
        <w:t xml:space="preserve">Respecto a la seguridad de datos, blockchain actúa como capa de control y auditoría sobre bases de datos críticas. </w:t>
      </w:r>
      <w:r w:rsidR="004438B7" w:rsidRPr="006944B3">
        <w:t>[</w:t>
      </w:r>
      <w:r w:rsidR="00965A42" w:rsidRPr="006944B3">
        <w:t>34</w:t>
      </w:r>
      <w:r w:rsidR="004438B7" w:rsidRPr="006944B3">
        <w:t xml:space="preserve">] </w:t>
      </w:r>
      <w:r w:rsidR="00F32A49" w:rsidRPr="006944B3">
        <w:t xml:space="preserve">documentaron cómo Estonia integra blockchain para proteger registros de salud y propiedad, mientras </w:t>
      </w:r>
      <w:r w:rsidR="00D80ECE" w:rsidRPr="006944B3">
        <w:t>[</w:t>
      </w:r>
      <w:r w:rsidR="0053532B" w:rsidRPr="006944B3">
        <w:t>3</w:t>
      </w:r>
      <w:r w:rsidR="00965A42" w:rsidRPr="006944B3">
        <w:t>5</w:t>
      </w:r>
      <w:r w:rsidR="00D80ECE" w:rsidRPr="006944B3">
        <w:t>]</w:t>
      </w:r>
      <w:r w:rsidR="00F32A49" w:rsidRPr="006944B3">
        <w:t xml:space="preserve"> reportaron mejoras en la eficiencia y seguridad del registro mercantil en Reino Unido. </w:t>
      </w:r>
      <w:r w:rsidR="004438B7" w:rsidRPr="006944B3">
        <w:t>[</w:t>
      </w:r>
      <w:r w:rsidR="003C5A93" w:rsidRPr="006944B3">
        <w:t>36</w:t>
      </w:r>
      <w:r w:rsidR="004438B7" w:rsidRPr="006944B3">
        <w:t xml:space="preserve">] </w:t>
      </w:r>
      <w:r w:rsidR="00F32A49" w:rsidRPr="006944B3">
        <w:t xml:space="preserve">analizaron registros electrónicos de salud, destacando la seguridad y acceso controlado a datos clínicos. </w:t>
      </w:r>
      <w:r w:rsidR="004438B7" w:rsidRPr="006944B3">
        <w:t>[</w:t>
      </w:r>
      <w:r w:rsidR="003C5A93" w:rsidRPr="006944B3">
        <w:t>37</w:t>
      </w:r>
      <w:r w:rsidR="004438B7" w:rsidRPr="006944B3">
        <w:t>]</w:t>
      </w:r>
      <w:r w:rsidR="00F32A49" w:rsidRPr="006944B3">
        <w:t xml:space="preserve"> propusieron su uso para trazabilidad de créditos de carbono en China, asegurando confiabilidad en reportes ambientales oficiales.</w:t>
      </w:r>
    </w:p>
    <w:p w14:paraId="465FC9E9" w14:textId="13076E8F" w:rsidR="00F32A49" w:rsidRPr="006944B3" w:rsidRDefault="0056247D" w:rsidP="00EA4445">
      <w:pPr>
        <w:spacing w:line="276" w:lineRule="auto"/>
        <w:jc w:val="both"/>
      </w:pPr>
      <w:r w:rsidRPr="006944B3">
        <w:t xml:space="preserve">      </w:t>
      </w:r>
      <w:r w:rsidR="00F32A49" w:rsidRPr="006944B3">
        <w:t>La Tabla 5 describe casos pioneros como Estonia, que desde 2012 usa la infraestructura KSI (Keyless Signature Infrastructure) para sellar criptográficamente más de 70 bases de datos gubernamentales [</w:t>
      </w:r>
      <w:r w:rsidR="00965A42" w:rsidRPr="006944B3">
        <w:t>34</w:t>
      </w:r>
      <w:r w:rsidR="00F32A49" w:rsidRPr="006944B3">
        <w:t>], y Georgia, donde la Agencia Nacional de Registro Público implementó la plataforma Exonum de Bitfury, anclando transacciones a la blockchain pública de Bitcoin [2</w:t>
      </w:r>
      <w:r w:rsidR="00AE2D0D" w:rsidRPr="006944B3">
        <w:t>2</w:t>
      </w:r>
      <w:r w:rsidR="00F32A49" w:rsidRPr="006944B3">
        <w:t xml:space="preserve">]. Estos sistemas lograron eliminar la posibilidad de alteración de registros sin evidencia, mejorar </w:t>
      </w:r>
      <w:r w:rsidR="00F32A49" w:rsidRPr="006944B3">
        <w:lastRenderedPageBreak/>
        <w:t xml:space="preserve">la confianza técnica y reducir la dependencia de intermediarios como notarios. Sin embargo, también mostraron limitaciones como el problema del “garbage in, garbage out” (datos falsos de entrada), la necesidad de marcos legales que otorguen validez jurídica a los registros blockchain, y el reto de mantener la infraestructura tecnológica a largo plazo. En síntesis, la experiencia comparada muestra que blockchain puede actuar como guardián digital de la integridad de la información pública, pero su efectividad depende de acompañarse de reformas institucionales, legales y </w:t>
      </w:r>
      <w:r w:rsidR="004E6CA4" w:rsidRPr="006944B3">
        <w:t>culturales.</w:t>
      </w:r>
    </w:p>
    <w:p w14:paraId="42C0608E" w14:textId="41A35374" w:rsidR="00F348FA" w:rsidRPr="006944B3" w:rsidRDefault="00F348FA" w:rsidP="00F348FA">
      <w:pPr>
        <w:pStyle w:val="Descripcin"/>
        <w:keepNext/>
        <w:spacing w:before="240"/>
        <w:jc w:val="center"/>
        <w:rPr>
          <w:i w:val="0"/>
          <w:iCs w:val="0"/>
          <w:color w:val="000000" w:themeColor="text1"/>
          <w:sz w:val="20"/>
          <w:szCs w:val="20"/>
        </w:rPr>
      </w:pPr>
      <w:r w:rsidRPr="006944B3">
        <w:rPr>
          <w:b/>
          <w:bCs/>
          <w:i w:val="0"/>
          <w:iCs w:val="0"/>
          <w:color w:val="000000" w:themeColor="text1"/>
          <w:sz w:val="20"/>
          <w:szCs w:val="20"/>
        </w:rPr>
        <w:t xml:space="preserve">Tabla </w:t>
      </w:r>
      <w:r w:rsidRPr="006944B3">
        <w:rPr>
          <w:b/>
          <w:bCs/>
          <w:i w:val="0"/>
          <w:iCs w:val="0"/>
          <w:color w:val="000000" w:themeColor="text1"/>
          <w:sz w:val="20"/>
          <w:szCs w:val="20"/>
        </w:rPr>
        <w:fldChar w:fldCharType="begin"/>
      </w:r>
      <w:r w:rsidRPr="006944B3">
        <w:rPr>
          <w:b/>
          <w:bCs/>
          <w:i w:val="0"/>
          <w:iCs w:val="0"/>
          <w:color w:val="000000" w:themeColor="text1"/>
          <w:sz w:val="20"/>
          <w:szCs w:val="20"/>
        </w:rPr>
        <w:instrText xml:space="preserve"> SEQ Tabla \* ARABIC </w:instrText>
      </w:r>
      <w:r w:rsidRPr="006944B3">
        <w:rPr>
          <w:b/>
          <w:bCs/>
          <w:i w:val="0"/>
          <w:iCs w:val="0"/>
          <w:color w:val="000000" w:themeColor="text1"/>
          <w:sz w:val="20"/>
          <w:szCs w:val="20"/>
        </w:rPr>
        <w:fldChar w:fldCharType="separate"/>
      </w:r>
      <w:r w:rsidR="00B433E1">
        <w:rPr>
          <w:b/>
          <w:bCs/>
          <w:i w:val="0"/>
          <w:iCs w:val="0"/>
          <w:noProof/>
          <w:color w:val="000000" w:themeColor="text1"/>
          <w:sz w:val="20"/>
          <w:szCs w:val="20"/>
        </w:rPr>
        <w:t>5</w:t>
      </w:r>
      <w:r w:rsidRPr="006944B3">
        <w:rPr>
          <w:b/>
          <w:bCs/>
          <w:i w:val="0"/>
          <w:iCs w:val="0"/>
          <w:color w:val="000000" w:themeColor="text1"/>
          <w:sz w:val="20"/>
          <w:szCs w:val="20"/>
        </w:rPr>
        <w:fldChar w:fldCharType="end"/>
      </w:r>
      <w:r w:rsidRPr="006944B3">
        <w:rPr>
          <w:b/>
          <w:bCs/>
          <w:i w:val="0"/>
          <w:iCs w:val="0"/>
          <w:color w:val="000000" w:themeColor="text1"/>
          <w:sz w:val="20"/>
          <w:szCs w:val="20"/>
        </w:rPr>
        <w:t>.</w:t>
      </w:r>
      <w:r w:rsidRPr="006944B3">
        <w:rPr>
          <w:i w:val="0"/>
          <w:iCs w:val="0"/>
          <w:color w:val="000000" w:themeColor="text1"/>
          <w:sz w:val="20"/>
          <w:szCs w:val="20"/>
        </w:rPr>
        <w:t xml:space="preserve"> Aplicación de Blockchain en sistemas registrales</w:t>
      </w:r>
    </w:p>
    <w:tbl>
      <w:tblPr>
        <w:tblStyle w:val="Tablaconcuadrcula"/>
        <w:tblW w:w="5000" w:type="pct"/>
        <w:jc w:val="center"/>
        <w:tblLook w:val="04A0" w:firstRow="1" w:lastRow="0" w:firstColumn="1" w:lastColumn="0" w:noHBand="0" w:noVBand="1"/>
      </w:tblPr>
      <w:tblGrid>
        <w:gridCol w:w="1556"/>
        <w:gridCol w:w="3389"/>
        <w:gridCol w:w="4365"/>
      </w:tblGrid>
      <w:tr w:rsidR="00F348FA" w:rsidRPr="006944B3" w14:paraId="0DA872F5" w14:textId="77777777" w:rsidTr="00F348FA">
        <w:trPr>
          <w:jc w:val="center"/>
        </w:trPr>
        <w:tc>
          <w:tcPr>
            <w:tcW w:w="836" w:type="pct"/>
            <w:vAlign w:val="center"/>
            <w:hideMark/>
          </w:tcPr>
          <w:p w14:paraId="70115BF7" w14:textId="77777777" w:rsidR="0056247D" w:rsidRPr="006944B3" w:rsidRDefault="0056247D" w:rsidP="00E1598A">
            <w:pPr>
              <w:pStyle w:val="TableParagraph"/>
              <w:spacing w:line="276" w:lineRule="auto"/>
              <w:ind w:left="0" w:firstLine="0"/>
              <w:rPr>
                <w:b/>
                <w:bCs/>
                <w:color w:val="000000" w:themeColor="text1"/>
                <w:sz w:val="18"/>
                <w:szCs w:val="18"/>
                <w:lang w:eastAsia="en-GB"/>
              </w:rPr>
            </w:pPr>
            <w:r w:rsidRPr="006944B3">
              <w:rPr>
                <w:b/>
                <w:bCs/>
                <w:color w:val="000000" w:themeColor="text1"/>
                <w:sz w:val="18"/>
                <w:szCs w:val="18"/>
                <w:lang w:eastAsia="en-GB"/>
              </w:rPr>
              <w:t>ÍTEM</w:t>
            </w:r>
          </w:p>
        </w:tc>
        <w:tc>
          <w:tcPr>
            <w:tcW w:w="1820" w:type="pct"/>
            <w:vAlign w:val="center"/>
            <w:hideMark/>
          </w:tcPr>
          <w:p w14:paraId="650209A4" w14:textId="77777777" w:rsidR="0056247D" w:rsidRPr="006944B3" w:rsidRDefault="0056247D" w:rsidP="00E1598A">
            <w:pPr>
              <w:pStyle w:val="TableParagraph"/>
              <w:spacing w:line="276" w:lineRule="auto"/>
              <w:ind w:left="0" w:firstLine="0"/>
              <w:rPr>
                <w:b/>
                <w:bCs/>
                <w:color w:val="000000" w:themeColor="text1"/>
                <w:sz w:val="18"/>
                <w:szCs w:val="18"/>
                <w:lang w:eastAsia="en-GB"/>
              </w:rPr>
            </w:pPr>
            <w:r w:rsidRPr="006944B3">
              <w:rPr>
                <w:b/>
                <w:bCs/>
                <w:color w:val="000000" w:themeColor="text1"/>
                <w:sz w:val="18"/>
                <w:szCs w:val="18"/>
                <w:lang w:eastAsia="en-GB"/>
              </w:rPr>
              <w:t>ESTONIA</w:t>
            </w:r>
          </w:p>
        </w:tc>
        <w:tc>
          <w:tcPr>
            <w:tcW w:w="2344" w:type="pct"/>
            <w:vAlign w:val="center"/>
            <w:hideMark/>
          </w:tcPr>
          <w:p w14:paraId="1A38BC9C" w14:textId="77777777" w:rsidR="0056247D" w:rsidRPr="006944B3" w:rsidRDefault="0056247D" w:rsidP="00E1598A">
            <w:pPr>
              <w:pStyle w:val="TableParagraph"/>
              <w:spacing w:line="276" w:lineRule="auto"/>
              <w:ind w:left="0" w:firstLine="0"/>
              <w:rPr>
                <w:b/>
                <w:bCs/>
                <w:color w:val="000000" w:themeColor="text1"/>
                <w:sz w:val="18"/>
                <w:szCs w:val="18"/>
                <w:lang w:eastAsia="en-GB"/>
              </w:rPr>
            </w:pPr>
            <w:r w:rsidRPr="006944B3">
              <w:rPr>
                <w:b/>
                <w:bCs/>
                <w:color w:val="000000" w:themeColor="text1"/>
                <w:sz w:val="18"/>
                <w:szCs w:val="18"/>
                <w:lang w:eastAsia="en-GB"/>
              </w:rPr>
              <w:t>GEORGIA</w:t>
            </w:r>
          </w:p>
        </w:tc>
      </w:tr>
      <w:tr w:rsidR="00F348FA" w:rsidRPr="006944B3" w14:paraId="2CED416A" w14:textId="77777777" w:rsidTr="00F348FA">
        <w:trPr>
          <w:jc w:val="center"/>
        </w:trPr>
        <w:tc>
          <w:tcPr>
            <w:tcW w:w="836" w:type="pct"/>
            <w:vAlign w:val="center"/>
            <w:hideMark/>
          </w:tcPr>
          <w:p w14:paraId="124EE305"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Entidad o programa</w:t>
            </w:r>
          </w:p>
        </w:tc>
        <w:tc>
          <w:tcPr>
            <w:tcW w:w="1820" w:type="pct"/>
            <w:vAlign w:val="center"/>
            <w:hideMark/>
          </w:tcPr>
          <w:p w14:paraId="7767EB43"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Centro de Registros e Información (RIK) – Gobierno de Estonia</w:t>
            </w:r>
          </w:p>
        </w:tc>
        <w:tc>
          <w:tcPr>
            <w:tcW w:w="2344" w:type="pct"/>
            <w:vAlign w:val="center"/>
            <w:hideMark/>
          </w:tcPr>
          <w:p w14:paraId="68B96F3C"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Agencia Nacional de Registro Público (NAPR) – Gobierno de Georgia</w:t>
            </w:r>
          </w:p>
        </w:tc>
      </w:tr>
      <w:tr w:rsidR="00F348FA" w:rsidRPr="006944B3" w14:paraId="06FB72F3" w14:textId="77777777" w:rsidTr="00F348FA">
        <w:trPr>
          <w:jc w:val="center"/>
        </w:trPr>
        <w:tc>
          <w:tcPr>
            <w:tcW w:w="836" w:type="pct"/>
            <w:vAlign w:val="center"/>
            <w:hideMark/>
          </w:tcPr>
          <w:p w14:paraId="24F35993"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Año de implementación</w:t>
            </w:r>
          </w:p>
        </w:tc>
        <w:tc>
          <w:tcPr>
            <w:tcW w:w="1820" w:type="pct"/>
            <w:vAlign w:val="center"/>
            <w:hideMark/>
          </w:tcPr>
          <w:p w14:paraId="26C01C9E"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Desde 2012 (integración de la solución KSI blockchain)</w:t>
            </w:r>
          </w:p>
        </w:tc>
        <w:tc>
          <w:tcPr>
            <w:tcW w:w="2344" w:type="pct"/>
            <w:vAlign w:val="center"/>
            <w:hideMark/>
          </w:tcPr>
          <w:p w14:paraId="3316A66D"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Desde 2016 (colaboración con Bitfury y Banco Mundial)</w:t>
            </w:r>
          </w:p>
        </w:tc>
      </w:tr>
      <w:tr w:rsidR="00F348FA" w:rsidRPr="006944B3" w14:paraId="492ADF6C" w14:textId="77777777" w:rsidTr="00F348FA">
        <w:trPr>
          <w:jc w:val="center"/>
        </w:trPr>
        <w:tc>
          <w:tcPr>
            <w:tcW w:w="836" w:type="pct"/>
            <w:vAlign w:val="center"/>
            <w:hideMark/>
          </w:tcPr>
          <w:p w14:paraId="77759576"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Tecnología aplicada</w:t>
            </w:r>
          </w:p>
        </w:tc>
        <w:tc>
          <w:tcPr>
            <w:tcW w:w="1820" w:type="pct"/>
            <w:vAlign w:val="center"/>
            <w:hideMark/>
          </w:tcPr>
          <w:p w14:paraId="74F3D11E" w14:textId="381A85A3"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Infraestructura de Firma Sin Clave (KSI–Keyless Signature Infrastructure); anclaje periódico de hashes de registros públicos en blockchain distribuida </w:t>
            </w:r>
            <w:r w:rsidR="008141C1" w:rsidRPr="006944B3">
              <w:rPr>
                <w:color w:val="000000" w:themeColor="text1"/>
                <w:sz w:val="18"/>
                <w:szCs w:val="18"/>
                <w:lang w:eastAsia="en-GB"/>
              </w:rPr>
              <w:t>[2</w:t>
            </w:r>
            <w:r w:rsidR="00FA744A" w:rsidRPr="006944B3">
              <w:rPr>
                <w:color w:val="000000" w:themeColor="text1"/>
                <w:sz w:val="18"/>
                <w:szCs w:val="18"/>
                <w:lang w:eastAsia="en-GB"/>
              </w:rPr>
              <w:t>0</w:t>
            </w:r>
            <w:r w:rsidR="008141C1" w:rsidRPr="006944B3">
              <w:rPr>
                <w:color w:val="000000" w:themeColor="text1"/>
                <w:sz w:val="18"/>
                <w:szCs w:val="18"/>
                <w:lang w:eastAsia="en-GB"/>
              </w:rPr>
              <w:t>]</w:t>
            </w:r>
            <w:r w:rsidRPr="006944B3">
              <w:rPr>
                <w:color w:val="000000" w:themeColor="text1"/>
                <w:sz w:val="18"/>
                <w:szCs w:val="18"/>
                <w:lang w:eastAsia="en-GB"/>
              </w:rPr>
              <w:t>.</w:t>
            </w:r>
          </w:p>
        </w:tc>
        <w:tc>
          <w:tcPr>
            <w:tcW w:w="2344" w:type="pct"/>
            <w:vAlign w:val="center"/>
            <w:hideMark/>
          </w:tcPr>
          <w:p w14:paraId="48AA527A" w14:textId="0BB2F552"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Plataforma Exonum de Bitfury con anclaje en la blockchain pública de Bitcoin; cada transacción genera un hash con marca de tiempo </w:t>
            </w:r>
            <w:r w:rsidR="00507B97" w:rsidRPr="006944B3">
              <w:rPr>
                <w:color w:val="000000" w:themeColor="text1"/>
                <w:sz w:val="18"/>
                <w:szCs w:val="18"/>
                <w:lang w:eastAsia="en-GB"/>
              </w:rPr>
              <w:t>[</w:t>
            </w:r>
            <w:r w:rsidR="003C5A93" w:rsidRPr="006944B3">
              <w:rPr>
                <w:color w:val="000000" w:themeColor="text1"/>
                <w:sz w:val="18"/>
                <w:szCs w:val="18"/>
                <w:lang w:eastAsia="en-GB"/>
              </w:rPr>
              <w:t>38</w:t>
            </w:r>
            <w:r w:rsidR="00507B97" w:rsidRPr="006944B3">
              <w:rPr>
                <w:color w:val="000000" w:themeColor="text1"/>
                <w:sz w:val="18"/>
                <w:szCs w:val="18"/>
                <w:lang w:eastAsia="en-GB"/>
              </w:rPr>
              <w:t>].</w:t>
            </w:r>
          </w:p>
        </w:tc>
      </w:tr>
      <w:tr w:rsidR="00F348FA" w:rsidRPr="006944B3" w14:paraId="2C349671" w14:textId="77777777" w:rsidTr="00F348FA">
        <w:trPr>
          <w:jc w:val="center"/>
        </w:trPr>
        <w:tc>
          <w:tcPr>
            <w:tcW w:w="836" w:type="pct"/>
            <w:vAlign w:val="center"/>
            <w:hideMark/>
          </w:tcPr>
          <w:p w14:paraId="0CCA088E"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Objetivo</w:t>
            </w:r>
          </w:p>
        </w:tc>
        <w:tc>
          <w:tcPr>
            <w:tcW w:w="1820" w:type="pct"/>
            <w:vAlign w:val="center"/>
            <w:hideMark/>
          </w:tcPr>
          <w:p w14:paraId="3DB6ECA7" w14:textId="140239FC" w:rsidR="0056247D" w:rsidRPr="006944B3" w:rsidRDefault="0056247D" w:rsidP="00E1598A">
            <w:pPr>
              <w:pStyle w:val="TableParagraph"/>
              <w:spacing w:line="276" w:lineRule="auto"/>
              <w:ind w:left="0" w:firstLine="0"/>
              <w:jc w:val="both"/>
              <w:rPr>
                <w:color w:val="000000" w:themeColor="text1"/>
                <w:sz w:val="18"/>
                <w:szCs w:val="18"/>
              </w:rPr>
            </w:pPr>
            <w:r w:rsidRPr="006944B3">
              <w:rPr>
                <w:color w:val="000000" w:themeColor="text1"/>
                <w:sz w:val="18"/>
                <w:szCs w:val="18"/>
              </w:rPr>
              <w:t xml:space="preserve">Proteger la integridad de más de 70 bases de datos gubernamentales contra accesos no autorizados, alteraciones internas o externas </w:t>
            </w:r>
            <w:r w:rsidR="006F5257" w:rsidRPr="006944B3">
              <w:rPr>
                <w:color w:val="000000" w:themeColor="text1"/>
                <w:sz w:val="18"/>
                <w:szCs w:val="18"/>
              </w:rPr>
              <w:t>[</w:t>
            </w:r>
            <w:r w:rsidR="0053532B" w:rsidRPr="006944B3">
              <w:rPr>
                <w:color w:val="000000" w:themeColor="text1"/>
                <w:sz w:val="18"/>
                <w:szCs w:val="18"/>
              </w:rPr>
              <w:t>21]</w:t>
            </w:r>
            <w:r w:rsidR="006F5257" w:rsidRPr="006944B3">
              <w:rPr>
                <w:color w:val="000000" w:themeColor="text1"/>
                <w:sz w:val="18"/>
                <w:szCs w:val="18"/>
              </w:rPr>
              <w:t>, [</w:t>
            </w:r>
            <w:r w:rsidR="00965A42" w:rsidRPr="006944B3">
              <w:rPr>
                <w:color w:val="000000" w:themeColor="text1"/>
                <w:sz w:val="18"/>
                <w:szCs w:val="18"/>
              </w:rPr>
              <w:t>34</w:t>
            </w:r>
            <w:r w:rsidR="006F5257" w:rsidRPr="006944B3">
              <w:rPr>
                <w:color w:val="000000" w:themeColor="text1"/>
                <w:sz w:val="18"/>
                <w:szCs w:val="18"/>
                <w:lang w:eastAsia="en-GB"/>
              </w:rPr>
              <w:t>]</w:t>
            </w:r>
            <w:r w:rsidR="006F5257" w:rsidRPr="006944B3">
              <w:rPr>
                <w:color w:val="000000" w:themeColor="text1"/>
                <w:sz w:val="18"/>
                <w:szCs w:val="18"/>
              </w:rPr>
              <w:t>.</w:t>
            </w:r>
          </w:p>
        </w:tc>
        <w:tc>
          <w:tcPr>
            <w:tcW w:w="2344" w:type="pct"/>
            <w:vAlign w:val="center"/>
            <w:hideMark/>
          </w:tcPr>
          <w:p w14:paraId="2DA19DEF" w14:textId="455A8E65"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Prevenir fraudes documentales en títulos de propiedad y fortalecer la auditoría en tiempo real del sistema registral inmobiliario </w:t>
            </w:r>
            <w:r w:rsidR="00507B97" w:rsidRPr="006944B3">
              <w:rPr>
                <w:color w:val="000000" w:themeColor="text1"/>
                <w:sz w:val="18"/>
                <w:szCs w:val="18"/>
                <w:lang w:eastAsia="en-GB"/>
              </w:rPr>
              <w:t>[</w:t>
            </w:r>
            <w:r w:rsidR="003C5A93" w:rsidRPr="006944B3">
              <w:rPr>
                <w:color w:val="000000" w:themeColor="text1"/>
                <w:sz w:val="18"/>
                <w:szCs w:val="18"/>
                <w:lang w:eastAsia="en-GB"/>
              </w:rPr>
              <w:t>38</w:t>
            </w:r>
            <w:r w:rsidR="00507B97" w:rsidRPr="006944B3">
              <w:rPr>
                <w:color w:val="000000" w:themeColor="text1"/>
                <w:sz w:val="18"/>
                <w:szCs w:val="18"/>
                <w:lang w:eastAsia="en-GB"/>
              </w:rPr>
              <w:t>].</w:t>
            </w:r>
          </w:p>
        </w:tc>
      </w:tr>
      <w:tr w:rsidR="00F348FA" w:rsidRPr="006944B3" w14:paraId="0CDF2874" w14:textId="77777777" w:rsidTr="00F348FA">
        <w:trPr>
          <w:jc w:val="center"/>
        </w:trPr>
        <w:tc>
          <w:tcPr>
            <w:tcW w:w="836" w:type="pct"/>
            <w:vAlign w:val="center"/>
            <w:hideMark/>
          </w:tcPr>
          <w:p w14:paraId="787C44DD"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Funcionamiento</w:t>
            </w:r>
          </w:p>
        </w:tc>
        <w:tc>
          <w:tcPr>
            <w:tcW w:w="1820" w:type="pct"/>
            <w:vAlign w:val="center"/>
            <w:hideMark/>
          </w:tcPr>
          <w:p w14:paraId="526ACDFE" w14:textId="5D7D335E"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Cada publicación oficial, como leyes o fallos judiciales, se sella criptográficamente; si alguien altera el documento, el hash no coincide y se genera una alerta automática </w:t>
            </w:r>
            <w:r w:rsidR="00507B97" w:rsidRPr="006944B3">
              <w:rPr>
                <w:color w:val="000000" w:themeColor="text1"/>
                <w:sz w:val="18"/>
                <w:szCs w:val="18"/>
                <w:lang w:eastAsia="en-GB"/>
              </w:rPr>
              <w:t>[2</w:t>
            </w:r>
            <w:r w:rsidR="00FA744A" w:rsidRPr="006944B3">
              <w:rPr>
                <w:color w:val="000000" w:themeColor="text1"/>
                <w:sz w:val="18"/>
                <w:szCs w:val="18"/>
                <w:lang w:eastAsia="en-GB"/>
              </w:rPr>
              <w:t>0</w:t>
            </w:r>
            <w:r w:rsidR="00507B97" w:rsidRPr="006944B3">
              <w:rPr>
                <w:color w:val="000000" w:themeColor="text1"/>
                <w:sz w:val="18"/>
                <w:szCs w:val="18"/>
                <w:lang w:eastAsia="en-GB"/>
              </w:rPr>
              <w:t>].</w:t>
            </w:r>
          </w:p>
        </w:tc>
        <w:tc>
          <w:tcPr>
            <w:tcW w:w="2344" w:type="pct"/>
            <w:vAlign w:val="center"/>
            <w:hideMark/>
          </w:tcPr>
          <w:p w14:paraId="666D5EEA" w14:textId="28F9825C"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Cada inscripción registral genera un certificado digital publicado como hash en la blockchain, garantizando inmutabilidad; se exploró uso de contratos inteligentes para ventas automatizadas </w:t>
            </w:r>
            <w:r w:rsidR="00507B97" w:rsidRPr="006944B3">
              <w:rPr>
                <w:color w:val="000000" w:themeColor="text1"/>
                <w:sz w:val="18"/>
                <w:szCs w:val="18"/>
                <w:lang w:eastAsia="en-GB"/>
              </w:rPr>
              <w:t>[</w:t>
            </w:r>
            <w:r w:rsidR="003C5A93" w:rsidRPr="006944B3">
              <w:rPr>
                <w:color w:val="000000" w:themeColor="text1"/>
                <w:sz w:val="18"/>
                <w:szCs w:val="18"/>
                <w:lang w:eastAsia="en-GB"/>
              </w:rPr>
              <w:t>38</w:t>
            </w:r>
            <w:r w:rsidR="00507B97" w:rsidRPr="006944B3">
              <w:rPr>
                <w:color w:val="000000" w:themeColor="text1"/>
                <w:sz w:val="18"/>
                <w:szCs w:val="18"/>
                <w:lang w:eastAsia="en-GB"/>
              </w:rPr>
              <w:t>].</w:t>
            </w:r>
          </w:p>
        </w:tc>
      </w:tr>
      <w:tr w:rsidR="00F348FA" w:rsidRPr="006944B3" w14:paraId="69C16017" w14:textId="77777777" w:rsidTr="00F348FA">
        <w:trPr>
          <w:jc w:val="center"/>
        </w:trPr>
        <w:tc>
          <w:tcPr>
            <w:tcW w:w="836" w:type="pct"/>
            <w:vAlign w:val="center"/>
            <w:hideMark/>
          </w:tcPr>
          <w:p w14:paraId="681F9DC4"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Resultados</w:t>
            </w:r>
          </w:p>
        </w:tc>
        <w:tc>
          <w:tcPr>
            <w:tcW w:w="1820" w:type="pct"/>
            <w:vAlign w:val="center"/>
            <w:hideMark/>
          </w:tcPr>
          <w:p w14:paraId="1FF447D0" w14:textId="579A4BDF"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Se eliminó la posibilidad de alterar registros sin dejar evidencia; se mantiene la trazabilidad total; los ciudadanos pueden verificar la autenticidad de sus títulos directamente en línea </w:t>
            </w:r>
            <w:r w:rsidR="00507B97" w:rsidRPr="006944B3">
              <w:rPr>
                <w:color w:val="000000" w:themeColor="text1"/>
                <w:sz w:val="18"/>
                <w:szCs w:val="18"/>
                <w:lang w:eastAsia="en-GB"/>
              </w:rPr>
              <w:t>[2</w:t>
            </w:r>
            <w:r w:rsidR="00FA744A" w:rsidRPr="006944B3">
              <w:rPr>
                <w:color w:val="000000" w:themeColor="text1"/>
                <w:sz w:val="18"/>
                <w:szCs w:val="18"/>
                <w:lang w:eastAsia="en-GB"/>
              </w:rPr>
              <w:t>0</w:t>
            </w:r>
            <w:r w:rsidR="00507B97" w:rsidRPr="006944B3">
              <w:rPr>
                <w:color w:val="000000" w:themeColor="text1"/>
                <w:sz w:val="18"/>
                <w:szCs w:val="18"/>
                <w:lang w:eastAsia="en-GB"/>
              </w:rPr>
              <w:t>].</w:t>
            </w:r>
          </w:p>
        </w:tc>
        <w:tc>
          <w:tcPr>
            <w:tcW w:w="2344" w:type="pct"/>
            <w:vAlign w:val="center"/>
            <w:hideMark/>
          </w:tcPr>
          <w:p w14:paraId="7973C7B5" w14:textId="0CADB4A3"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No se han reportado fraudes en títulos desde su implementación; sistema considerado exitoso técnicamente, pero con mejoras limitadas en percepción pública de corrupción sin reformas institucionales adicionales </w:t>
            </w:r>
            <w:r w:rsidR="00507B97" w:rsidRPr="006944B3">
              <w:rPr>
                <w:color w:val="000000" w:themeColor="text1"/>
                <w:sz w:val="18"/>
                <w:szCs w:val="18"/>
                <w:lang w:eastAsia="en-GB"/>
              </w:rPr>
              <w:t>[</w:t>
            </w:r>
            <w:r w:rsidR="003C5A93" w:rsidRPr="006944B3">
              <w:rPr>
                <w:color w:val="000000" w:themeColor="text1"/>
                <w:sz w:val="18"/>
                <w:szCs w:val="18"/>
                <w:lang w:eastAsia="en-GB"/>
              </w:rPr>
              <w:t>38</w:t>
            </w:r>
            <w:r w:rsidR="00507B97" w:rsidRPr="006944B3">
              <w:rPr>
                <w:color w:val="000000" w:themeColor="text1"/>
                <w:sz w:val="18"/>
                <w:szCs w:val="18"/>
                <w:lang w:eastAsia="en-GB"/>
              </w:rPr>
              <w:t>].</w:t>
            </w:r>
          </w:p>
        </w:tc>
      </w:tr>
      <w:tr w:rsidR="00F348FA" w:rsidRPr="006944B3" w14:paraId="5FE3D79E" w14:textId="77777777" w:rsidTr="00F348FA">
        <w:trPr>
          <w:jc w:val="center"/>
        </w:trPr>
        <w:tc>
          <w:tcPr>
            <w:tcW w:w="836" w:type="pct"/>
            <w:vAlign w:val="center"/>
            <w:hideMark/>
          </w:tcPr>
          <w:p w14:paraId="3A903D94"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Ventajas</w:t>
            </w:r>
          </w:p>
        </w:tc>
        <w:tc>
          <w:tcPr>
            <w:tcW w:w="1820" w:type="pct"/>
            <w:vAlign w:val="center"/>
            <w:hideMark/>
          </w:tcPr>
          <w:p w14:paraId="4A972DD5" w14:textId="030D6C0A"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Seguridad sin fricción para el usuario, transparencia, trazabilidad, verificación ciudadana directa, infraestructura digital confiable, auditoría automatizada </w:t>
            </w:r>
            <w:r w:rsidR="00507B97" w:rsidRPr="006944B3">
              <w:rPr>
                <w:color w:val="000000" w:themeColor="text1"/>
                <w:sz w:val="18"/>
                <w:szCs w:val="18"/>
                <w:lang w:eastAsia="en-GB"/>
              </w:rPr>
              <w:t>[2</w:t>
            </w:r>
            <w:r w:rsidR="00FA744A" w:rsidRPr="006944B3">
              <w:rPr>
                <w:color w:val="000000" w:themeColor="text1"/>
                <w:sz w:val="18"/>
                <w:szCs w:val="18"/>
                <w:lang w:eastAsia="en-GB"/>
              </w:rPr>
              <w:t>0</w:t>
            </w:r>
            <w:r w:rsidR="00507B97" w:rsidRPr="006944B3">
              <w:rPr>
                <w:color w:val="000000" w:themeColor="text1"/>
                <w:sz w:val="18"/>
                <w:szCs w:val="18"/>
                <w:lang w:eastAsia="en-GB"/>
              </w:rPr>
              <w:t>].</w:t>
            </w:r>
          </w:p>
        </w:tc>
        <w:tc>
          <w:tcPr>
            <w:tcW w:w="2344" w:type="pct"/>
            <w:vAlign w:val="center"/>
            <w:hideMark/>
          </w:tcPr>
          <w:p w14:paraId="24C620C4" w14:textId="04CFF5DD"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Mayor confianza técnica en la información, reducción del rol de notarios, posibilidad de verificación pública y automática de registros, referencia internacional para otros países </w:t>
            </w:r>
            <w:r w:rsidR="00507B97" w:rsidRPr="006944B3">
              <w:rPr>
                <w:color w:val="000000" w:themeColor="text1"/>
                <w:sz w:val="18"/>
                <w:szCs w:val="18"/>
                <w:lang w:eastAsia="en-GB"/>
              </w:rPr>
              <w:t>[</w:t>
            </w:r>
            <w:r w:rsidR="003C5A93" w:rsidRPr="006944B3">
              <w:rPr>
                <w:color w:val="000000" w:themeColor="text1"/>
                <w:sz w:val="18"/>
                <w:szCs w:val="18"/>
                <w:lang w:eastAsia="en-GB"/>
              </w:rPr>
              <w:t>38</w:t>
            </w:r>
            <w:r w:rsidR="00507B97" w:rsidRPr="006944B3">
              <w:rPr>
                <w:color w:val="000000" w:themeColor="text1"/>
                <w:sz w:val="18"/>
                <w:szCs w:val="18"/>
                <w:lang w:eastAsia="en-GB"/>
              </w:rPr>
              <w:t>].</w:t>
            </w:r>
          </w:p>
        </w:tc>
      </w:tr>
      <w:tr w:rsidR="00F348FA" w:rsidRPr="006944B3" w14:paraId="469BF1AB" w14:textId="77777777" w:rsidTr="00F348FA">
        <w:trPr>
          <w:jc w:val="center"/>
        </w:trPr>
        <w:tc>
          <w:tcPr>
            <w:tcW w:w="836" w:type="pct"/>
            <w:vAlign w:val="center"/>
            <w:hideMark/>
          </w:tcPr>
          <w:p w14:paraId="42D3AF20"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Limitaciones</w:t>
            </w:r>
          </w:p>
        </w:tc>
        <w:tc>
          <w:tcPr>
            <w:tcW w:w="1820" w:type="pct"/>
            <w:vAlign w:val="center"/>
            <w:hideMark/>
          </w:tcPr>
          <w:p w14:paraId="4DF23996" w14:textId="581483BC" w:rsidR="0056247D" w:rsidRPr="006944B3" w:rsidRDefault="0056247D" w:rsidP="00E1598A">
            <w:pPr>
              <w:pStyle w:val="TableParagraph"/>
              <w:spacing w:line="276" w:lineRule="auto"/>
              <w:ind w:left="0" w:firstLine="0"/>
              <w:jc w:val="both"/>
              <w:rPr>
                <w:color w:val="000000" w:themeColor="text1"/>
                <w:sz w:val="18"/>
                <w:szCs w:val="18"/>
              </w:rPr>
            </w:pPr>
            <w:r w:rsidRPr="006944B3">
              <w:rPr>
                <w:color w:val="000000" w:themeColor="text1"/>
                <w:sz w:val="18"/>
                <w:szCs w:val="18"/>
              </w:rPr>
              <w:t xml:space="preserve">No almacena datos personales en blockchain, solo hashes; requiere mantener actualizada la infraestructura criptográfica; depende de una estrategia digital integral y legal sólida </w:t>
            </w:r>
            <w:r w:rsidR="00507B97" w:rsidRPr="006944B3">
              <w:rPr>
                <w:color w:val="000000" w:themeColor="text1"/>
                <w:sz w:val="18"/>
                <w:szCs w:val="18"/>
              </w:rPr>
              <w:t>[</w:t>
            </w:r>
            <w:r w:rsidR="0053532B" w:rsidRPr="006944B3">
              <w:rPr>
                <w:color w:val="000000" w:themeColor="text1"/>
                <w:sz w:val="18"/>
                <w:szCs w:val="18"/>
              </w:rPr>
              <w:t>21]</w:t>
            </w:r>
            <w:r w:rsidR="006F5257" w:rsidRPr="006944B3">
              <w:rPr>
                <w:color w:val="000000" w:themeColor="text1"/>
                <w:sz w:val="18"/>
                <w:szCs w:val="18"/>
              </w:rPr>
              <w:t>, [</w:t>
            </w:r>
            <w:r w:rsidR="00965A42" w:rsidRPr="006944B3">
              <w:rPr>
                <w:color w:val="000000" w:themeColor="text1"/>
                <w:sz w:val="18"/>
                <w:szCs w:val="18"/>
              </w:rPr>
              <w:t>34</w:t>
            </w:r>
            <w:r w:rsidR="00507B97" w:rsidRPr="006944B3">
              <w:rPr>
                <w:color w:val="000000" w:themeColor="text1"/>
                <w:sz w:val="18"/>
                <w:szCs w:val="18"/>
                <w:lang w:eastAsia="en-GB"/>
              </w:rPr>
              <w:t>]</w:t>
            </w:r>
            <w:r w:rsidR="00507B97" w:rsidRPr="006944B3">
              <w:rPr>
                <w:color w:val="000000" w:themeColor="text1"/>
                <w:sz w:val="18"/>
                <w:szCs w:val="18"/>
              </w:rPr>
              <w:t>.</w:t>
            </w:r>
          </w:p>
        </w:tc>
        <w:tc>
          <w:tcPr>
            <w:tcW w:w="2344" w:type="pct"/>
            <w:vAlign w:val="center"/>
            <w:hideMark/>
          </w:tcPr>
          <w:p w14:paraId="60981CF6" w14:textId="3EB9F64B"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Blockchain no corrige datos falsos ingresados desde el inicio (problema de “garbage in, garbage out”); uso inicial de blockchain privada con anclaje público requiere confianza en la entidad operadora; percepción ciudadana no mejoró significativamente sin acompañamiento institucional </w:t>
            </w:r>
            <w:r w:rsidR="00507B97" w:rsidRPr="006944B3">
              <w:rPr>
                <w:color w:val="000000" w:themeColor="text1"/>
                <w:sz w:val="18"/>
                <w:szCs w:val="18"/>
                <w:lang w:eastAsia="en-GB"/>
              </w:rPr>
              <w:t>[</w:t>
            </w:r>
            <w:r w:rsidR="003C5A93" w:rsidRPr="006944B3">
              <w:rPr>
                <w:color w:val="000000" w:themeColor="text1"/>
                <w:sz w:val="18"/>
                <w:szCs w:val="18"/>
                <w:lang w:eastAsia="en-GB"/>
              </w:rPr>
              <w:t>38</w:t>
            </w:r>
            <w:r w:rsidR="00507B97" w:rsidRPr="006944B3">
              <w:rPr>
                <w:color w:val="000000" w:themeColor="text1"/>
                <w:sz w:val="18"/>
                <w:szCs w:val="18"/>
                <w:lang w:eastAsia="en-GB"/>
              </w:rPr>
              <w:t>].</w:t>
            </w:r>
          </w:p>
        </w:tc>
      </w:tr>
      <w:tr w:rsidR="00F348FA" w:rsidRPr="006944B3" w14:paraId="76657E2E" w14:textId="77777777" w:rsidTr="00F348FA">
        <w:trPr>
          <w:jc w:val="center"/>
        </w:trPr>
        <w:tc>
          <w:tcPr>
            <w:tcW w:w="836" w:type="pct"/>
            <w:vAlign w:val="center"/>
            <w:hideMark/>
          </w:tcPr>
          <w:p w14:paraId="679300F7" w14:textId="77777777"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Lecciones aprendidas</w:t>
            </w:r>
          </w:p>
        </w:tc>
        <w:tc>
          <w:tcPr>
            <w:tcW w:w="1820" w:type="pct"/>
            <w:vAlign w:val="center"/>
            <w:hideMark/>
          </w:tcPr>
          <w:p w14:paraId="0D98E763" w14:textId="6C819D4F"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Blockchain puede integrarse exitosamente como parte de una arquitectura estatal de ciberseguridad si se combina con marco legal, cultura digital y gobernanza institucional </w:t>
            </w:r>
            <w:r w:rsidR="00507B97" w:rsidRPr="006944B3">
              <w:rPr>
                <w:color w:val="000000" w:themeColor="text1"/>
                <w:sz w:val="18"/>
                <w:szCs w:val="18"/>
                <w:lang w:eastAsia="en-GB"/>
              </w:rPr>
              <w:t>[2</w:t>
            </w:r>
            <w:r w:rsidR="00FA744A" w:rsidRPr="006944B3">
              <w:rPr>
                <w:color w:val="000000" w:themeColor="text1"/>
                <w:sz w:val="18"/>
                <w:szCs w:val="18"/>
                <w:lang w:eastAsia="en-GB"/>
              </w:rPr>
              <w:t>0</w:t>
            </w:r>
            <w:r w:rsidR="00507B97" w:rsidRPr="006944B3">
              <w:rPr>
                <w:color w:val="000000" w:themeColor="text1"/>
                <w:sz w:val="18"/>
                <w:szCs w:val="18"/>
                <w:lang w:eastAsia="en-GB"/>
              </w:rPr>
              <w:t>].</w:t>
            </w:r>
          </w:p>
        </w:tc>
        <w:tc>
          <w:tcPr>
            <w:tcW w:w="2344" w:type="pct"/>
            <w:vAlign w:val="center"/>
            <w:hideMark/>
          </w:tcPr>
          <w:p w14:paraId="3DF18AC5" w14:textId="3040B211" w:rsidR="0056247D" w:rsidRPr="006944B3" w:rsidRDefault="0056247D" w:rsidP="00E1598A">
            <w:pPr>
              <w:pStyle w:val="TableParagraph"/>
              <w:spacing w:line="276" w:lineRule="auto"/>
              <w:ind w:left="0" w:firstLine="0"/>
              <w:jc w:val="both"/>
              <w:rPr>
                <w:color w:val="000000" w:themeColor="text1"/>
                <w:sz w:val="18"/>
                <w:szCs w:val="18"/>
                <w:lang w:eastAsia="en-GB"/>
              </w:rPr>
            </w:pPr>
            <w:r w:rsidRPr="006944B3">
              <w:rPr>
                <w:color w:val="000000" w:themeColor="text1"/>
                <w:sz w:val="18"/>
                <w:szCs w:val="18"/>
                <w:lang w:eastAsia="en-GB"/>
              </w:rPr>
              <w:t xml:space="preserve">La confianza en instituciones es clave: blockchain complementa, pero no reemplaza, reformas estructurales; su éxito depende tanto de la tecnología como de la calidad institucional y del manejo de datos originales </w:t>
            </w:r>
            <w:r w:rsidR="00507B97" w:rsidRPr="006944B3">
              <w:rPr>
                <w:color w:val="000000" w:themeColor="text1"/>
                <w:sz w:val="18"/>
                <w:szCs w:val="18"/>
                <w:lang w:eastAsia="en-GB"/>
              </w:rPr>
              <w:t>[</w:t>
            </w:r>
            <w:r w:rsidR="003C5A93" w:rsidRPr="006944B3">
              <w:rPr>
                <w:color w:val="000000" w:themeColor="text1"/>
                <w:sz w:val="18"/>
                <w:szCs w:val="18"/>
                <w:lang w:eastAsia="en-GB"/>
              </w:rPr>
              <w:t>38</w:t>
            </w:r>
            <w:r w:rsidR="00507B97" w:rsidRPr="006944B3">
              <w:rPr>
                <w:color w:val="000000" w:themeColor="text1"/>
                <w:sz w:val="18"/>
                <w:szCs w:val="18"/>
                <w:lang w:eastAsia="en-GB"/>
              </w:rPr>
              <w:t>].</w:t>
            </w:r>
          </w:p>
        </w:tc>
      </w:tr>
    </w:tbl>
    <w:p w14:paraId="152796C7" w14:textId="30141AAD" w:rsidR="0056247D" w:rsidRPr="006944B3" w:rsidRDefault="0056247D" w:rsidP="00507B97">
      <w:pPr>
        <w:spacing w:before="139" w:after="240"/>
        <w:ind w:right="730"/>
        <w:jc w:val="center"/>
        <w:rPr>
          <w:spacing w:val="-2"/>
        </w:rPr>
      </w:pPr>
      <w:r w:rsidRPr="006944B3">
        <w:rPr>
          <w:b/>
        </w:rPr>
        <w:lastRenderedPageBreak/>
        <w:t>Fuente:</w:t>
      </w:r>
      <w:r w:rsidRPr="006944B3">
        <w:rPr>
          <w:b/>
          <w:spacing w:val="-9"/>
        </w:rPr>
        <w:t xml:space="preserve"> </w:t>
      </w:r>
      <w:r w:rsidRPr="006944B3">
        <w:rPr>
          <w:spacing w:val="-2"/>
        </w:rPr>
        <w:t>Autores.</w:t>
      </w:r>
    </w:p>
    <w:p w14:paraId="4633BD26" w14:textId="582A2CF2" w:rsidR="005F1E08" w:rsidRPr="006944B3" w:rsidRDefault="00F669D3" w:rsidP="005F1E08">
      <w:pPr>
        <w:spacing w:line="276" w:lineRule="auto"/>
        <w:jc w:val="both"/>
      </w:pPr>
      <w:r w:rsidRPr="006944B3">
        <w:t xml:space="preserve">       </w:t>
      </w:r>
      <w:r w:rsidR="005F1E08" w:rsidRPr="006944B3">
        <w:t>Un tercer eje de aplicación de blockchain en el sector público se enfoca en la automatización de trámites y la reducción de burocracia, aprovechando los llamados smart contracts o contratos inteligentes. Un contrato inteligente es un programa autoejecutable en la blockchain que codifica reglas y las hace cumplir automáticamente cuando se cumplen ciertas condiciones. En procesos gubernamentales, esto permite eliminar tareas manuales repetitivas, minimizar errores humanos y asegurar que las reglas se apliquen de forma uniforme y transparente [</w:t>
      </w:r>
      <w:r w:rsidR="0053532B" w:rsidRPr="006944B3">
        <w:t>3</w:t>
      </w:r>
      <w:r w:rsidR="00965A42" w:rsidRPr="006944B3">
        <w:t>4</w:t>
      </w:r>
      <w:r w:rsidR="005F1E08" w:rsidRPr="006944B3">
        <w:t>], [</w:t>
      </w:r>
      <w:r w:rsidR="003D7130" w:rsidRPr="006944B3">
        <w:t>27</w:t>
      </w:r>
      <w:r w:rsidR="005F1E08" w:rsidRPr="006944B3">
        <w:t>]. Para administraciones con procesos complejos (licitaciones, adjudicaciones y otorgamiento de licencias), los contratos inteligentes prometen mayor eficiencia y podrían disminuir oportunidades de discrecionalidad o corrupción.</w:t>
      </w:r>
    </w:p>
    <w:p w14:paraId="49EC4760" w14:textId="75FBF1E0" w:rsidR="005F1E08" w:rsidRPr="006944B3" w:rsidRDefault="005F1E08" w:rsidP="005F1E08">
      <w:pPr>
        <w:spacing w:line="276" w:lineRule="auto"/>
        <w:jc w:val="both"/>
      </w:pPr>
      <w:r w:rsidRPr="006944B3">
        <w:t xml:space="preserve">       A continuación, en la Tabla 6 se destacan dos iniciativas en este ámbito, una en América Latina (México) y otra en Oriente Medio (Dubái), que ilustran avances pioneros en automatización de licitaciones públicas y trámites digitales [</w:t>
      </w:r>
      <w:r w:rsidR="004E6CA4" w:rsidRPr="006944B3">
        <w:t>3</w:t>
      </w:r>
      <w:r w:rsidR="00965A42" w:rsidRPr="006944B3">
        <w:t>3</w:t>
      </w:r>
      <w:r w:rsidRPr="006944B3">
        <w:t>].</w:t>
      </w:r>
    </w:p>
    <w:p w14:paraId="6D02CB94" w14:textId="02A7C214" w:rsidR="009135BB" w:rsidRPr="006944B3" w:rsidRDefault="009135BB" w:rsidP="005F1E08">
      <w:pPr>
        <w:spacing w:line="276" w:lineRule="auto"/>
        <w:jc w:val="both"/>
        <w:rPr>
          <w:i/>
          <w:iCs/>
          <w:color w:val="000000" w:themeColor="text1"/>
          <w:sz w:val="20"/>
          <w:szCs w:val="20"/>
        </w:rPr>
      </w:pPr>
    </w:p>
    <w:p w14:paraId="506AECDA" w14:textId="50373A6E" w:rsidR="005F1E08" w:rsidRPr="006944B3" w:rsidRDefault="005F1E08" w:rsidP="005F1E08">
      <w:pPr>
        <w:pStyle w:val="Descripcin"/>
        <w:keepNext/>
        <w:jc w:val="center"/>
        <w:rPr>
          <w:i w:val="0"/>
          <w:iCs w:val="0"/>
          <w:color w:val="auto"/>
          <w:sz w:val="20"/>
          <w:szCs w:val="20"/>
        </w:rPr>
      </w:pPr>
      <w:r w:rsidRPr="006944B3">
        <w:rPr>
          <w:b/>
          <w:bCs/>
          <w:i w:val="0"/>
          <w:iCs w:val="0"/>
          <w:color w:val="auto"/>
          <w:sz w:val="20"/>
          <w:szCs w:val="20"/>
        </w:rPr>
        <w:t xml:space="preserve">Tabla </w:t>
      </w:r>
      <w:r w:rsidRPr="006944B3">
        <w:rPr>
          <w:b/>
          <w:bCs/>
          <w:i w:val="0"/>
          <w:iCs w:val="0"/>
          <w:color w:val="auto"/>
          <w:sz w:val="20"/>
          <w:szCs w:val="20"/>
        </w:rPr>
        <w:fldChar w:fldCharType="begin"/>
      </w:r>
      <w:r w:rsidRPr="006944B3">
        <w:rPr>
          <w:b/>
          <w:bCs/>
          <w:i w:val="0"/>
          <w:iCs w:val="0"/>
          <w:color w:val="auto"/>
          <w:sz w:val="20"/>
          <w:szCs w:val="20"/>
        </w:rPr>
        <w:instrText xml:space="preserve"> SEQ Tabla \* ARABIC </w:instrText>
      </w:r>
      <w:r w:rsidRPr="006944B3">
        <w:rPr>
          <w:b/>
          <w:bCs/>
          <w:i w:val="0"/>
          <w:iCs w:val="0"/>
          <w:color w:val="auto"/>
          <w:sz w:val="20"/>
          <w:szCs w:val="20"/>
        </w:rPr>
        <w:fldChar w:fldCharType="separate"/>
      </w:r>
      <w:r w:rsidR="00B433E1">
        <w:rPr>
          <w:b/>
          <w:bCs/>
          <w:i w:val="0"/>
          <w:iCs w:val="0"/>
          <w:noProof/>
          <w:color w:val="auto"/>
          <w:sz w:val="20"/>
          <w:szCs w:val="20"/>
        </w:rPr>
        <w:t>6</w:t>
      </w:r>
      <w:r w:rsidRPr="006944B3">
        <w:rPr>
          <w:b/>
          <w:bCs/>
          <w:i w:val="0"/>
          <w:iCs w:val="0"/>
          <w:color w:val="auto"/>
          <w:sz w:val="20"/>
          <w:szCs w:val="20"/>
        </w:rPr>
        <w:fldChar w:fldCharType="end"/>
      </w:r>
      <w:r w:rsidRPr="006944B3">
        <w:rPr>
          <w:b/>
          <w:bCs/>
          <w:i w:val="0"/>
          <w:iCs w:val="0"/>
          <w:color w:val="auto"/>
          <w:sz w:val="20"/>
          <w:szCs w:val="20"/>
        </w:rPr>
        <w:t>.</w:t>
      </w:r>
      <w:r w:rsidRPr="006944B3">
        <w:rPr>
          <w:i w:val="0"/>
          <w:iCs w:val="0"/>
          <w:color w:val="auto"/>
          <w:sz w:val="20"/>
          <w:szCs w:val="20"/>
        </w:rPr>
        <w:t xml:space="preserve"> Aplicaciones gubernamentales de blockchain</w:t>
      </w:r>
    </w:p>
    <w:tbl>
      <w:tblPr>
        <w:tblStyle w:val="Tablaconcuadrcula"/>
        <w:tblW w:w="0" w:type="auto"/>
        <w:tblLook w:val="04A0" w:firstRow="1" w:lastRow="0" w:firstColumn="1" w:lastColumn="0" w:noHBand="0" w:noVBand="1"/>
      </w:tblPr>
      <w:tblGrid>
        <w:gridCol w:w="1593"/>
        <w:gridCol w:w="3818"/>
        <w:gridCol w:w="3899"/>
      </w:tblGrid>
      <w:tr w:rsidR="009135BB" w:rsidRPr="006944B3" w14:paraId="5E5C8E0C" w14:textId="77777777" w:rsidTr="009135BB">
        <w:tc>
          <w:tcPr>
            <w:tcW w:w="0" w:type="auto"/>
            <w:vAlign w:val="center"/>
            <w:hideMark/>
          </w:tcPr>
          <w:p w14:paraId="05AE6B94" w14:textId="36AE8E5B" w:rsidR="009135BB" w:rsidRPr="006944B3" w:rsidRDefault="009135BB" w:rsidP="009135BB">
            <w:pPr>
              <w:pStyle w:val="TableParagraph"/>
              <w:spacing w:line="276" w:lineRule="auto"/>
              <w:ind w:left="0" w:firstLine="0"/>
              <w:rPr>
                <w:b/>
                <w:bCs/>
                <w:sz w:val="18"/>
                <w:szCs w:val="18"/>
                <w:lang w:eastAsia="en-GB"/>
              </w:rPr>
            </w:pPr>
            <w:r w:rsidRPr="006944B3">
              <w:rPr>
                <w:b/>
                <w:bCs/>
                <w:sz w:val="18"/>
                <w:szCs w:val="18"/>
                <w:lang w:eastAsia="en-GB"/>
              </w:rPr>
              <w:t>ÍTEM</w:t>
            </w:r>
          </w:p>
        </w:tc>
        <w:tc>
          <w:tcPr>
            <w:tcW w:w="0" w:type="auto"/>
            <w:vAlign w:val="center"/>
            <w:hideMark/>
          </w:tcPr>
          <w:p w14:paraId="0F61B90D" w14:textId="21285E18" w:rsidR="009135BB" w:rsidRPr="006944B3" w:rsidRDefault="009135BB" w:rsidP="009135BB">
            <w:pPr>
              <w:pStyle w:val="TableParagraph"/>
              <w:spacing w:line="276" w:lineRule="auto"/>
              <w:ind w:left="0" w:firstLine="0"/>
              <w:rPr>
                <w:b/>
                <w:bCs/>
                <w:sz w:val="18"/>
                <w:szCs w:val="18"/>
                <w:lang w:eastAsia="en-GB"/>
              </w:rPr>
            </w:pPr>
            <w:r w:rsidRPr="006944B3">
              <w:rPr>
                <w:b/>
                <w:bCs/>
                <w:sz w:val="18"/>
                <w:szCs w:val="18"/>
                <w:lang w:eastAsia="en-GB"/>
              </w:rPr>
              <w:t>MÉXICO</w:t>
            </w:r>
          </w:p>
        </w:tc>
        <w:tc>
          <w:tcPr>
            <w:tcW w:w="0" w:type="auto"/>
            <w:vAlign w:val="center"/>
            <w:hideMark/>
          </w:tcPr>
          <w:p w14:paraId="3304E89D" w14:textId="5370F90F" w:rsidR="009135BB" w:rsidRPr="006944B3" w:rsidRDefault="009135BB" w:rsidP="009135BB">
            <w:pPr>
              <w:pStyle w:val="TableParagraph"/>
              <w:spacing w:line="276" w:lineRule="auto"/>
              <w:ind w:left="0" w:firstLine="0"/>
              <w:rPr>
                <w:b/>
                <w:bCs/>
                <w:sz w:val="18"/>
                <w:szCs w:val="18"/>
                <w:lang w:eastAsia="en-GB"/>
              </w:rPr>
            </w:pPr>
            <w:r w:rsidRPr="006944B3">
              <w:rPr>
                <w:b/>
                <w:bCs/>
                <w:sz w:val="18"/>
                <w:szCs w:val="18"/>
                <w:lang w:eastAsia="en-GB"/>
              </w:rPr>
              <w:t>DUBÁI (EMIRATOS ÁRABES UNIDOS)</w:t>
            </w:r>
          </w:p>
        </w:tc>
      </w:tr>
      <w:tr w:rsidR="008207C4" w:rsidRPr="00B433E1" w14:paraId="38FF1F9F" w14:textId="77777777" w:rsidTr="009135BB">
        <w:tc>
          <w:tcPr>
            <w:tcW w:w="0" w:type="auto"/>
            <w:vAlign w:val="center"/>
            <w:hideMark/>
          </w:tcPr>
          <w:p w14:paraId="1FC25959"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Entidad o programa</w:t>
            </w:r>
          </w:p>
        </w:tc>
        <w:tc>
          <w:tcPr>
            <w:tcW w:w="0" w:type="auto"/>
            <w:vAlign w:val="center"/>
            <w:hideMark/>
          </w:tcPr>
          <w:p w14:paraId="7DEA6FE3"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CompraNet / Red Blockchain Federal / Piloto de licitaciones públicas inteligentes</w:t>
            </w:r>
          </w:p>
        </w:tc>
        <w:tc>
          <w:tcPr>
            <w:tcW w:w="0" w:type="auto"/>
            <w:vAlign w:val="center"/>
            <w:hideMark/>
          </w:tcPr>
          <w:p w14:paraId="25D35F63" w14:textId="77777777" w:rsidR="009135BB" w:rsidRPr="006944B3" w:rsidRDefault="009135BB" w:rsidP="009135BB">
            <w:pPr>
              <w:pStyle w:val="TableParagraph"/>
              <w:spacing w:line="276" w:lineRule="auto"/>
              <w:ind w:left="0" w:firstLine="0"/>
              <w:jc w:val="both"/>
              <w:rPr>
                <w:sz w:val="18"/>
                <w:szCs w:val="18"/>
                <w:lang w:val="en-GB" w:eastAsia="en-GB"/>
              </w:rPr>
            </w:pPr>
            <w:r w:rsidRPr="006944B3">
              <w:rPr>
                <w:sz w:val="18"/>
                <w:szCs w:val="18"/>
                <w:lang w:val="en-GB" w:eastAsia="en-GB"/>
              </w:rPr>
              <w:t>Smart Dubai – Dubai Blockchain Strategy</w:t>
            </w:r>
          </w:p>
        </w:tc>
      </w:tr>
      <w:tr w:rsidR="008207C4" w:rsidRPr="006944B3" w14:paraId="46064C6A" w14:textId="77777777" w:rsidTr="009135BB">
        <w:tc>
          <w:tcPr>
            <w:tcW w:w="0" w:type="auto"/>
            <w:vAlign w:val="center"/>
            <w:hideMark/>
          </w:tcPr>
          <w:p w14:paraId="2E6CFB9E"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Año de implementación</w:t>
            </w:r>
          </w:p>
        </w:tc>
        <w:tc>
          <w:tcPr>
            <w:tcW w:w="0" w:type="auto"/>
            <w:vAlign w:val="center"/>
            <w:hideMark/>
          </w:tcPr>
          <w:p w14:paraId="25FDA29C"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2018 (inicio del piloto)</w:t>
            </w:r>
          </w:p>
        </w:tc>
        <w:tc>
          <w:tcPr>
            <w:tcW w:w="0" w:type="auto"/>
            <w:vAlign w:val="center"/>
            <w:hideMark/>
          </w:tcPr>
          <w:p w14:paraId="0E53F5B8"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Desde 2016 (estrategia lanzada); cumplimiento de meta "Government Paperless" en 2021</w:t>
            </w:r>
          </w:p>
        </w:tc>
      </w:tr>
      <w:tr w:rsidR="008207C4" w:rsidRPr="006944B3" w14:paraId="58229B9B" w14:textId="77777777" w:rsidTr="009135BB">
        <w:tc>
          <w:tcPr>
            <w:tcW w:w="0" w:type="auto"/>
            <w:vAlign w:val="center"/>
            <w:hideMark/>
          </w:tcPr>
          <w:p w14:paraId="7AAE5DAA" w14:textId="77777777" w:rsidR="009135BB" w:rsidRPr="006944B3" w:rsidRDefault="009135BB" w:rsidP="009135BB">
            <w:pPr>
              <w:pStyle w:val="TableParagraph"/>
              <w:spacing w:line="276" w:lineRule="auto"/>
              <w:ind w:firstLine="0"/>
              <w:jc w:val="both"/>
              <w:rPr>
                <w:sz w:val="18"/>
                <w:szCs w:val="18"/>
                <w:lang w:eastAsia="en-GB"/>
              </w:rPr>
            </w:pPr>
            <w:r w:rsidRPr="006944B3">
              <w:rPr>
                <w:sz w:val="18"/>
                <w:szCs w:val="18"/>
                <w:lang w:eastAsia="en-GB"/>
              </w:rPr>
              <w:t>Tecnología aplicada</w:t>
            </w:r>
          </w:p>
        </w:tc>
        <w:tc>
          <w:tcPr>
            <w:tcW w:w="0" w:type="auto"/>
            <w:vAlign w:val="center"/>
            <w:hideMark/>
          </w:tcPr>
          <w:p w14:paraId="0E4C36D3" w14:textId="58ACB5CA"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Red híbrida basada en Ethereum; uso de contratos inteligentes para evaluación técnica y económica de ofertas; participación de evaluadores ciudadanos con identidad digital</w:t>
            </w:r>
            <w:r w:rsidR="00F348FA" w:rsidRPr="006944B3">
              <w:rPr>
                <w:sz w:val="18"/>
                <w:szCs w:val="18"/>
                <w:lang w:eastAsia="en-GB"/>
              </w:rPr>
              <w:t xml:space="preserve"> [</w:t>
            </w:r>
            <w:r w:rsidR="004E6CA4" w:rsidRPr="006944B3">
              <w:rPr>
                <w:sz w:val="18"/>
                <w:szCs w:val="18"/>
                <w:lang w:eastAsia="en-GB"/>
              </w:rPr>
              <w:t>3</w:t>
            </w:r>
            <w:r w:rsidR="00965A42" w:rsidRPr="006944B3">
              <w:rPr>
                <w:sz w:val="18"/>
                <w:szCs w:val="18"/>
                <w:lang w:eastAsia="en-GB"/>
              </w:rPr>
              <w:t>3</w:t>
            </w:r>
            <w:r w:rsidR="00F348FA" w:rsidRPr="006944B3">
              <w:rPr>
                <w:sz w:val="18"/>
                <w:szCs w:val="18"/>
                <w:lang w:eastAsia="en-GB"/>
              </w:rPr>
              <w:t>]</w:t>
            </w:r>
            <w:r w:rsidRPr="006944B3">
              <w:rPr>
                <w:sz w:val="18"/>
                <w:szCs w:val="18"/>
                <w:lang w:eastAsia="en-GB"/>
              </w:rPr>
              <w:t>.</w:t>
            </w:r>
          </w:p>
        </w:tc>
        <w:tc>
          <w:tcPr>
            <w:tcW w:w="0" w:type="auto"/>
            <w:vAlign w:val="center"/>
            <w:hideMark/>
          </w:tcPr>
          <w:p w14:paraId="1CDFFE11" w14:textId="7F0296E9"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Blockchain-as-a-Service común para todas las agencias; interoperabilidad entre sectores clave; blockchains permissionadas con almacenamiento de hashes o referencias </w:t>
            </w:r>
            <w:r w:rsidR="00F348FA" w:rsidRPr="006944B3">
              <w:rPr>
                <w:sz w:val="18"/>
                <w:szCs w:val="18"/>
                <w:lang w:eastAsia="en-GB"/>
              </w:rPr>
              <w:t>[</w:t>
            </w:r>
            <w:r w:rsidR="003C5A93" w:rsidRPr="006944B3">
              <w:rPr>
                <w:sz w:val="18"/>
                <w:szCs w:val="18"/>
                <w:lang w:eastAsia="en-GB"/>
              </w:rPr>
              <w:t>39</w:t>
            </w:r>
            <w:r w:rsidR="00F348FA" w:rsidRPr="006944B3">
              <w:rPr>
                <w:sz w:val="18"/>
                <w:szCs w:val="18"/>
                <w:lang w:eastAsia="en-GB"/>
              </w:rPr>
              <w:t>].</w:t>
            </w:r>
          </w:p>
        </w:tc>
      </w:tr>
      <w:tr w:rsidR="008207C4" w:rsidRPr="006944B3" w14:paraId="3EC01C27" w14:textId="77777777" w:rsidTr="009135BB">
        <w:tc>
          <w:tcPr>
            <w:tcW w:w="0" w:type="auto"/>
            <w:vAlign w:val="center"/>
            <w:hideMark/>
          </w:tcPr>
          <w:p w14:paraId="42B86373"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Objetivo</w:t>
            </w:r>
          </w:p>
        </w:tc>
        <w:tc>
          <w:tcPr>
            <w:tcW w:w="0" w:type="auto"/>
            <w:vAlign w:val="center"/>
            <w:hideMark/>
          </w:tcPr>
          <w:p w14:paraId="36CBF9F6" w14:textId="0C865D0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Transparentar y automatizar la contratación pública; dar voz y voto a ciudadanos; eliminar discrecionalidad en la adjudicación y monitorear el cumplimiento contractual con trazabilidad </w:t>
            </w:r>
            <w:r w:rsidR="00F348FA"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F348FA" w:rsidRPr="006944B3">
              <w:rPr>
                <w:sz w:val="18"/>
                <w:szCs w:val="18"/>
                <w:lang w:eastAsia="en-GB"/>
              </w:rPr>
              <w:t>].</w:t>
            </w:r>
          </w:p>
        </w:tc>
        <w:tc>
          <w:tcPr>
            <w:tcW w:w="0" w:type="auto"/>
            <w:vAlign w:val="center"/>
            <w:hideMark/>
          </w:tcPr>
          <w:p w14:paraId="4A411B46" w14:textId="59BB2B82"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Eliminar completamente el uso de papel en el gobierno; digitalizar todos los trámites; garantizar eficiencia, interoperabilidad y trazabilidad segura entre agencias públicas </w:t>
            </w:r>
            <w:r w:rsidR="00F348FA" w:rsidRPr="006944B3">
              <w:rPr>
                <w:sz w:val="18"/>
                <w:szCs w:val="18"/>
                <w:lang w:eastAsia="en-GB"/>
              </w:rPr>
              <w:t>[</w:t>
            </w:r>
            <w:r w:rsidR="00B63431" w:rsidRPr="006944B3">
              <w:rPr>
                <w:sz w:val="18"/>
                <w:szCs w:val="18"/>
                <w:lang w:eastAsia="en-GB"/>
              </w:rPr>
              <w:t>39</w:t>
            </w:r>
            <w:r w:rsidR="00F348FA" w:rsidRPr="006944B3">
              <w:rPr>
                <w:sz w:val="18"/>
                <w:szCs w:val="18"/>
                <w:lang w:eastAsia="en-GB"/>
              </w:rPr>
              <w:t>].</w:t>
            </w:r>
          </w:p>
        </w:tc>
      </w:tr>
      <w:tr w:rsidR="008207C4" w:rsidRPr="006944B3" w14:paraId="0EED7CF6" w14:textId="77777777" w:rsidTr="009135BB">
        <w:tc>
          <w:tcPr>
            <w:tcW w:w="0" w:type="auto"/>
            <w:vAlign w:val="center"/>
            <w:hideMark/>
          </w:tcPr>
          <w:p w14:paraId="6B04E832"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Funcionamiento</w:t>
            </w:r>
          </w:p>
        </w:tc>
        <w:tc>
          <w:tcPr>
            <w:tcW w:w="0" w:type="auto"/>
            <w:vAlign w:val="center"/>
            <w:hideMark/>
          </w:tcPr>
          <w:p w14:paraId="364CB2D0" w14:textId="67BC7391"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Smart contracts abrían y evaluaban propuestas de forma automática una vez vencido el plazo de recepción; selección del ganador basada en criterios predefinidos; reputación digital de evaluadores y proveedores registrada en blockchain </w:t>
            </w:r>
            <w:r w:rsidR="00F348FA"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F348FA" w:rsidRPr="006944B3">
              <w:rPr>
                <w:sz w:val="18"/>
                <w:szCs w:val="18"/>
                <w:lang w:eastAsia="en-GB"/>
              </w:rPr>
              <w:t>].</w:t>
            </w:r>
          </w:p>
        </w:tc>
        <w:tc>
          <w:tcPr>
            <w:tcW w:w="0" w:type="auto"/>
            <w:vAlign w:val="center"/>
            <w:hideMark/>
          </w:tcPr>
          <w:p w14:paraId="377497BA" w14:textId="7B710843"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Plataforma digital única para trámites (visas, licencias, pagos, registros) disponibles 24/7; interoperabilidad entre agencias sin necesidad de presentar documentos físicos; cada transacción registrada como operación digital con trazabilidad </w:t>
            </w:r>
            <w:r w:rsidR="00F348FA" w:rsidRPr="006944B3">
              <w:rPr>
                <w:sz w:val="18"/>
                <w:szCs w:val="18"/>
                <w:lang w:eastAsia="en-GB"/>
              </w:rPr>
              <w:t>[</w:t>
            </w:r>
            <w:r w:rsidR="00B63431" w:rsidRPr="006944B3">
              <w:rPr>
                <w:sz w:val="18"/>
                <w:szCs w:val="18"/>
                <w:lang w:eastAsia="en-GB"/>
              </w:rPr>
              <w:t>39</w:t>
            </w:r>
            <w:r w:rsidR="00F348FA" w:rsidRPr="006944B3">
              <w:rPr>
                <w:sz w:val="18"/>
                <w:szCs w:val="18"/>
                <w:lang w:eastAsia="en-GB"/>
              </w:rPr>
              <w:t>].</w:t>
            </w:r>
          </w:p>
        </w:tc>
      </w:tr>
      <w:tr w:rsidR="008207C4" w:rsidRPr="006944B3" w14:paraId="65F964EC" w14:textId="77777777" w:rsidTr="009135BB">
        <w:tc>
          <w:tcPr>
            <w:tcW w:w="0" w:type="auto"/>
            <w:vAlign w:val="center"/>
            <w:hideMark/>
          </w:tcPr>
          <w:p w14:paraId="47DF9A4C"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Resultados</w:t>
            </w:r>
          </w:p>
        </w:tc>
        <w:tc>
          <w:tcPr>
            <w:tcW w:w="0" w:type="auto"/>
            <w:vAlign w:val="center"/>
            <w:hideMark/>
          </w:tcPr>
          <w:p w14:paraId="682F2089" w14:textId="7F2E6771"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Trazabilidad integral en tiempo real; automatización de etapas críticas; eliminación de sesgos en evaluación; incremento en participación ciudadana; mejora en eficiencia del proceso </w:t>
            </w:r>
            <w:r w:rsidR="00F348FA"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F348FA" w:rsidRPr="006944B3">
              <w:rPr>
                <w:sz w:val="18"/>
                <w:szCs w:val="18"/>
                <w:lang w:eastAsia="en-GB"/>
              </w:rPr>
              <w:t>].</w:t>
            </w:r>
          </w:p>
        </w:tc>
        <w:tc>
          <w:tcPr>
            <w:tcW w:w="0" w:type="auto"/>
            <w:vAlign w:val="center"/>
            <w:hideMark/>
          </w:tcPr>
          <w:p w14:paraId="73001A2F" w14:textId="58A588FF"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Eliminación total del papel en el gobierno; ahorro de ~1.5 mil millones USD anuales en costos de documentación; habilitación de servicios públicos digitales permanentes y mejor experiencia del ciudadano; interoperabilidad efectiva </w:t>
            </w:r>
            <w:r w:rsidR="00F348FA" w:rsidRPr="006944B3">
              <w:rPr>
                <w:sz w:val="18"/>
                <w:szCs w:val="18"/>
                <w:lang w:eastAsia="en-GB"/>
              </w:rPr>
              <w:t>[</w:t>
            </w:r>
            <w:r w:rsidR="00B63431" w:rsidRPr="006944B3">
              <w:rPr>
                <w:sz w:val="18"/>
                <w:szCs w:val="18"/>
                <w:lang w:eastAsia="en-GB"/>
              </w:rPr>
              <w:t>39</w:t>
            </w:r>
            <w:r w:rsidR="00F348FA" w:rsidRPr="006944B3">
              <w:rPr>
                <w:sz w:val="18"/>
                <w:szCs w:val="18"/>
                <w:lang w:eastAsia="en-GB"/>
              </w:rPr>
              <w:t>].</w:t>
            </w:r>
          </w:p>
        </w:tc>
      </w:tr>
      <w:tr w:rsidR="008207C4" w:rsidRPr="006944B3" w14:paraId="53325C38" w14:textId="77777777" w:rsidTr="009135BB">
        <w:tc>
          <w:tcPr>
            <w:tcW w:w="0" w:type="auto"/>
            <w:vAlign w:val="center"/>
            <w:hideMark/>
          </w:tcPr>
          <w:p w14:paraId="2BA1A8A6"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Ventajas</w:t>
            </w:r>
          </w:p>
        </w:tc>
        <w:tc>
          <w:tcPr>
            <w:tcW w:w="0" w:type="auto"/>
            <w:vAlign w:val="center"/>
            <w:hideMark/>
          </w:tcPr>
          <w:p w14:paraId="73CFA5E5" w14:textId="5C0A0B72"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Incremento en transparencia, trazabilidad y velocidad del proceso; gobernanza colaborativa con participación ciudadana activa; criterios de evaluación aplicados de forma automática </w:t>
            </w:r>
            <w:r w:rsidR="00F348FA"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F348FA" w:rsidRPr="006944B3">
              <w:rPr>
                <w:sz w:val="18"/>
                <w:szCs w:val="18"/>
                <w:lang w:eastAsia="en-GB"/>
              </w:rPr>
              <w:t>].</w:t>
            </w:r>
          </w:p>
        </w:tc>
        <w:tc>
          <w:tcPr>
            <w:tcW w:w="0" w:type="auto"/>
            <w:vAlign w:val="center"/>
            <w:hideMark/>
          </w:tcPr>
          <w:p w14:paraId="001C27E0" w14:textId="4BAC99DB"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Ahorro económico significativo; simplificación y automatización de trámites; eficiencia operativa en todo el aparato estatal; servicios accesibles 24/7; ecosistema digital centrado en el usuario </w:t>
            </w:r>
            <w:r w:rsidR="00F348FA" w:rsidRPr="006944B3">
              <w:rPr>
                <w:sz w:val="18"/>
                <w:szCs w:val="18"/>
                <w:lang w:eastAsia="en-GB"/>
              </w:rPr>
              <w:t>[</w:t>
            </w:r>
            <w:r w:rsidR="00B63431" w:rsidRPr="006944B3">
              <w:rPr>
                <w:sz w:val="18"/>
                <w:szCs w:val="18"/>
                <w:lang w:eastAsia="en-GB"/>
              </w:rPr>
              <w:t>39</w:t>
            </w:r>
            <w:r w:rsidR="00F348FA" w:rsidRPr="006944B3">
              <w:rPr>
                <w:sz w:val="18"/>
                <w:szCs w:val="18"/>
                <w:lang w:eastAsia="en-GB"/>
              </w:rPr>
              <w:t>].</w:t>
            </w:r>
          </w:p>
        </w:tc>
      </w:tr>
      <w:tr w:rsidR="008207C4" w:rsidRPr="006944B3" w14:paraId="1BF55602" w14:textId="77777777" w:rsidTr="009135BB">
        <w:tc>
          <w:tcPr>
            <w:tcW w:w="0" w:type="auto"/>
            <w:vAlign w:val="center"/>
            <w:hideMark/>
          </w:tcPr>
          <w:p w14:paraId="4E08B1C0"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lastRenderedPageBreak/>
              <w:t>Limitaciones</w:t>
            </w:r>
          </w:p>
        </w:tc>
        <w:tc>
          <w:tcPr>
            <w:tcW w:w="0" w:type="auto"/>
            <w:vAlign w:val="center"/>
            <w:hideMark/>
          </w:tcPr>
          <w:p w14:paraId="3E980012" w14:textId="4C99C0F2"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Obstáculos legales (ausencia de figura legal de evaluador ciudadano); necesidad de capacitación técnica para usuarios; necesidad de integración con sistemas existentes (CompraNet); falta de normativa específica </w:t>
            </w:r>
            <w:r w:rsidR="00F348FA"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F348FA" w:rsidRPr="006944B3">
              <w:rPr>
                <w:sz w:val="18"/>
                <w:szCs w:val="18"/>
                <w:lang w:eastAsia="en-GB"/>
              </w:rPr>
              <w:t>].</w:t>
            </w:r>
          </w:p>
        </w:tc>
        <w:tc>
          <w:tcPr>
            <w:tcW w:w="0" w:type="auto"/>
            <w:vAlign w:val="center"/>
            <w:hideMark/>
          </w:tcPr>
          <w:p w14:paraId="68478CE7" w14:textId="13A98849"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Necesidad de gobernanza interinstitucional clara; actualización de sistemas legados; definición de qué datos incluir en blockchain para cumplir normativa de privacidad; uso de blockchains permissionadas en muchos casos </w:t>
            </w:r>
            <w:r w:rsidR="00F348FA" w:rsidRPr="006944B3">
              <w:rPr>
                <w:sz w:val="18"/>
                <w:szCs w:val="18"/>
                <w:lang w:eastAsia="en-GB"/>
              </w:rPr>
              <w:t>[</w:t>
            </w:r>
            <w:r w:rsidR="00B63431" w:rsidRPr="006944B3">
              <w:rPr>
                <w:sz w:val="18"/>
                <w:szCs w:val="18"/>
                <w:lang w:eastAsia="en-GB"/>
              </w:rPr>
              <w:t>39</w:t>
            </w:r>
            <w:r w:rsidR="00F348FA" w:rsidRPr="006944B3">
              <w:rPr>
                <w:sz w:val="18"/>
                <w:szCs w:val="18"/>
                <w:lang w:eastAsia="en-GB"/>
              </w:rPr>
              <w:t>].</w:t>
            </w:r>
          </w:p>
        </w:tc>
      </w:tr>
      <w:tr w:rsidR="008207C4" w:rsidRPr="006944B3" w14:paraId="7869FB26" w14:textId="77777777" w:rsidTr="009135BB">
        <w:tc>
          <w:tcPr>
            <w:tcW w:w="0" w:type="auto"/>
            <w:vAlign w:val="center"/>
            <w:hideMark/>
          </w:tcPr>
          <w:p w14:paraId="2DF14745" w14:textId="77777777"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Lecciones aprendidas</w:t>
            </w:r>
          </w:p>
        </w:tc>
        <w:tc>
          <w:tcPr>
            <w:tcW w:w="0" w:type="auto"/>
            <w:vAlign w:val="center"/>
            <w:hideMark/>
          </w:tcPr>
          <w:p w14:paraId="1C47F2EB" w14:textId="2CA4B3D9"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Blockchain puede rediseñar procesos administrativos si se combina con participación ciudadana y cambios normativos; es clave iniciar con pilotos escalables y coordinar entidades desde el </w:t>
            </w:r>
            <w:r w:rsidR="00F348FA" w:rsidRPr="006944B3">
              <w:rPr>
                <w:sz w:val="18"/>
                <w:szCs w:val="18"/>
                <w:lang w:eastAsia="en-GB"/>
              </w:rPr>
              <w:t>[</w:t>
            </w:r>
            <w:r w:rsidR="004E6CA4" w:rsidRPr="006944B3">
              <w:rPr>
                <w:sz w:val="18"/>
                <w:szCs w:val="18"/>
                <w:lang w:eastAsia="en-GB"/>
              </w:rPr>
              <w:t>3</w:t>
            </w:r>
            <w:r w:rsidR="00965A42" w:rsidRPr="006944B3">
              <w:rPr>
                <w:sz w:val="18"/>
                <w:szCs w:val="18"/>
                <w:lang w:eastAsia="en-GB"/>
              </w:rPr>
              <w:t>3</w:t>
            </w:r>
            <w:r w:rsidR="00F348FA" w:rsidRPr="006944B3">
              <w:rPr>
                <w:sz w:val="18"/>
                <w:szCs w:val="18"/>
                <w:lang w:eastAsia="en-GB"/>
              </w:rPr>
              <w:t>].</w:t>
            </w:r>
          </w:p>
        </w:tc>
        <w:tc>
          <w:tcPr>
            <w:tcW w:w="0" w:type="auto"/>
            <w:vAlign w:val="center"/>
            <w:hideMark/>
          </w:tcPr>
          <w:p w14:paraId="0F3ED47A" w14:textId="2BF3A5EC" w:rsidR="009135BB" w:rsidRPr="006944B3" w:rsidRDefault="009135BB" w:rsidP="009135BB">
            <w:pPr>
              <w:pStyle w:val="TableParagraph"/>
              <w:spacing w:line="276" w:lineRule="auto"/>
              <w:ind w:left="0" w:firstLine="0"/>
              <w:jc w:val="both"/>
              <w:rPr>
                <w:sz w:val="18"/>
                <w:szCs w:val="18"/>
                <w:lang w:eastAsia="en-GB"/>
              </w:rPr>
            </w:pPr>
            <w:r w:rsidRPr="006944B3">
              <w:rPr>
                <w:sz w:val="18"/>
                <w:szCs w:val="18"/>
                <w:lang w:eastAsia="en-GB"/>
              </w:rPr>
              <w:t xml:space="preserve">Blockchain es efectiva como columna vertebral de un gobierno digital si se acompaña de visión estratégica, marco legal claro, interoperabilidad técnica y voluntad institucional para adaptar procesos tradicionales </w:t>
            </w:r>
            <w:r w:rsidR="00F348FA" w:rsidRPr="006944B3">
              <w:rPr>
                <w:sz w:val="18"/>
                <w:szCs w:val="18"/>
                <w:lang w:eastAsia="en-GB"/>
              </w:rPr>
              <w:t>[</w:t>
            </w:r>
            <w:r w:rsidR="00B63431" w:rsidRPr="006944B3">
              <w:rPr>
                <w:sz w:val="18"/>
                <w:szCs w:val="18"/>
                <w:lang w:eastAsia="en-GB"/>
              </w:rPr>
              <w:t>39</w:t>
            </w:r>
            <w:r w:rsidR="00F348FA" w:rsidRPr="006944B3">
              <w:rPr>
                <w:sz w:val="18"/>
                <w:szCs w:val="18"/>
                <w:lang w:eastAsia="en-GB"/>
              </w:rPr>
              <w:t>].</w:t>
            </w:r>
          </w:p>
        </w:tc>
      </w:tr>
    </w:tbl>
    <w:p w14:paraId="74177E48" w14:textId="57FA8D6E" w:rsidR="00CA2610" w:rsidRPr="006944B3" w:rsidRDefault="009135BB" w:rsidP="009135BB">
      <w:pPr>
        <w:spacing w:before="139" w:after="240"/>
        <w:ind w:right="730"/>
        <w:jc w:val="center"/>
        <w:rPr>
          <w:spacing w:val="-2"/>
        </w:rPr>
      </w:pPr>
      <w:r w:rsidRPr="006944B3">
        <w:rPr>
          <w:b/>
        </w:rPr>
        <w:t>Fuente:</w:t>
      </w:r>
      <w:r w:rsidRPr="006944B3">
        <w:rPr>
          <w:b/>
          <w:spacing w:val="-9"/>
        </w:rPr>
        <w:t xml:space="preserve"> </w:t>
      </w:r>
      <w:r w:rsidRPr="006944B3">
        <w:rPr>
          <w:spacing w:val="-2"/>
        </w:rPr>
        <w:t>Autores.</w:t>
      </w:r>
    </w:p>
    <w:p w14:paraId="6BFF9F54" w14:textId="08722532" w:rsidR="005F1E08" w:rsidRPr="006944B3" w:rsidRDefault="00F669D3" w:rsidP="005F1E08">
      <w:pPr>
        <w:spacing w:line="276" w:lineRule="auto"/>
        <w:jc w:val="both"/>
      </w:pPr>
      <w:r w:rsidRPr="006944B3">
        <w:t xml:space="preserve">      </w:t>
      </w:r>
      <w:r w:rsidR="005F1E08" w:rsidRPr="006944B3">
        <w:t>Estos casos muestran beneficios como reducción de tiempos y costos (México acelerando adjudicaciones; Dubái ahorrando ~1.5 mil millones USD anuales en papel), disminución de discrecionalidad y corrupción (reglas automáticas que sustituyen decisiones arbitrarias) e incluso nuevas formas de participación, como la de ciudadanos evaluadores en México [</w:t>
      </w:r>
      <w:r w:rsidR="0053532B" w:rsidRPr="006944B3">
        <w:t>3</w:t>
      </w:r>
      <w:r w:rsidR="00965A42" w:rsidRPr="006944B3">
        <w:t>3</w:t>
      </w:r>
      <w:r w:rsidR="005F1E08" w:rsidRPr="006944B3">
        <w:t>], [</w:t>
      </w:r>
      <w:r w:rsidR="00B63431" w:rsidRPr="006944B3">
        <w:t>40</w:t>
      </w:r>
      <w:r w:rsidR="005F1E08" w:rsidRPr="006944B3">
        <w:t>]. Sin embargo, también revelan desafíos institucionales: un marco legal adaptado, capacitación masiva, gobernanza clara, uso de datos abiertos y estándares, y pruebas escalables mediante pilotos [</w:t>
      </w:r>
      <w:r w:rsidR="0053532B" w:rsidRPr="006944B3">
        <w:t>3</w:t>
      </w:r>
      <w:r w:rsidR="00965A42" w:rsidRPr="006944B3">
        <w:t>3</w:t>
      </w:r>
      <w:r w:rsidR="005F1E08" w:rsidRPr="006944B3">
        <w:t>], [</w:t>
      </w:r>
      <w:r w:rsidR="00B63431" w:rsidRPr="006944B3">
        <w:t>40</w:t>
      </w:r>
      <w:r w:rsidR="005F1E08" w:rsidRPr="006944B3">
        <w:t>], [</w:t>
      </w:r>
      <w:r w:rsidR="00B63431" w:rsidRPr="006944B3">
        <w:t>41</w:t>
      </w:r>
      <w:r w:rsidR="005F1E08" w:rsidRPr="006944B3">
        <w:t>].</w:t>
      </w:r>
    </w:p>
    <w:p w14:paraId="48903EF8" w14:textId="050E613A" w:rsidR="005F1E08" w:rsidRPr="006944B3" w:rsidRDefault="005F1E08" w:rsidP="005F1E08">
      <w:pPr>
        <w:spacing w:line="276" w:lineRule="auto"/>
        <w:jc w:val="both"/>
      </w:pPr>
      <w:r w:rsidRPr="006944B3">
        <w:t xml:space="preserve">      Además, se han documentado ejemplos relevantes como Companies House en Reino Unido [</w:t>
      </w:r>
      <w:r w:rsidR="0053532B" w:rsidRPr="006944B3">
        <w:t>3</w:t>
      </w:r>
      <w:r w:rsidR="00965A42" w:rsidRPr="006944B3">
        <w:t>4</w:t>
      </w:r>
      <w:r w:rsidRPr="006944B3">
        <w:t>], el uso de contratos inteligentes en economías colaborativas [</w:t>
      </w:r>
      <w:r w:rsidR="00B63431" w:rsidRPr="006944B3">
        <w:t>40</w:t>
      </w:r>
      <w:r w:rsidRPr="006944B3">
        <w:t>], compras públicas sostenibles [</w:t>
      </w:r>
      <w:r w:rsidR="00B63431" w:rsidRPr="006944B3">
        <w:t>40</w:t>
      </w:r>
      <w:r w:rsidRPr="006944B3">
        <w:t>], gestión de permisos y licencias [</w:t>
      </w:r>
      <w:r w:rsidR="00B63431" w:rsidRPr="006944B3">
        <w:t>42</w:t>
      </w:r>
      <w:r w:rsidRPr="006944B3">
        <w:t>]</w:t>
      </w:r>
      <w:r w:rsidR="00BC15E1" w:rsidRPr="006944B3">
        <w:t>-</w:t>
      </w:r>
      <w:r w:rsidRPr="006944B3">
        <w:t>[</w:t>
      </w:r>
      <w:r w:rsidR="00B63431" w:rsidRPr="006944B3">
        <w:t>43</w:t>
      </w:r>
      <w:r w:rsidRPr="006944B3">
        <w:t>], y la reducción de cargas administrativas en países en desarrollo como Colombia [19], [</w:t>
      </w:r>
      <w:r w:rsidR="00B63431" w:rsidRPr="006944B3">
        <w:t>42</w:t>
      </w:r>
      <w:r w:rsidRPr="006944B3">
        <w:t>], [</w:t>
      </w:r>
      <w:r w:rsidR="008A2D8D" w:rsidRPr="006944B3">
        <w:t>43</w:t>
      </w:r>
      <w:r w:rsidRPr="006944B3">
        <w:t>]. No obstante, se advierte que la automatización también conlleva riesgos: vacíos legales [</w:t>
      </w:r>
      <w:r w:rsidR="008A2D8D" w:rsidRPr="006944B3">
        <w:t>43</w:t>
      </w:r>
      <w:r w:rsidRPr="006944B3">
        <w:t>], necesidad de competencias técnicas [</w:t>
      </w:r>
      <w:r w:rsidR="008A2D8D" w:rsidRPr="006944B3">
        <w:t>44</w:t>
      </w:r>
      <w:r w:rsidRPr="006944B3">
        <w:t>], resistencia organizacional [</w:t>
      </w:r>
      <w:r w:rsidR="008A2D8D" w:rsidRPr="006944B3">
        <w:t>4</w:t>
      </w:r>
      <w:r w:rsidR="00BC15E1" w:rsidRPr="006944B3">
        <w:t>4</w:t>
      </w:r>
      <w:r w:rsidRPr="006944B3">
        <w:t>], riesgos regulatorios [</w:t>
      </w:r>
      <w:r w:rsidR="008A2D8D" w:rsidRPr="006944B3">
        <w:t>4</w:t>
      </w:r>
      <w:r w:rsidR="00BC15E1" w:rsidRPr="006944B3">
        <w:t>5</w:t>
      </w:r>
      <w:r w:rsidRPr="006944B3">
        <w:t>], desempeño técnico [</w:t>
      </w:r>
      <w:r w:rsidR="008A2D8D" w:rsidRPr="006944B3">
        <w:t>4</w:t>
      </w:r>
      <w:r w:rsidR="00BC15E1" w:rsidRPr="006944B3">
        <w:t>6</w:t>
      </w:r>
      <w:r w:rsidRPr="006944B3">
        <w:t>], interoperabilidad [</w:t>
      </w:r>
      <w:r w:rsidR="008A2D8D" w:rsidRPr="006944B3">
        <w:t>4</w:t>
      </w:r>
      <w:r w:rsidR="00BC15E1" w:rsidRPr="006944B3">
        <w:t>7</w:t>
      </w:r>
      <w:r w:rsidRPr="006944B3">
        <w:t>], privacidad de datos [3</w:t>
      </w:r>
      <w:r w:rsidR="00BC15E1" w:rsidRPr="006944B3">
        <w:t>8</w:t>
      </w:r>
      <w:r w:rsidRPr="006944B3">
        <w:t xml:space="preserve">], y </w:t>
      </w:r>
      <w:r w:rsidR="001B4E19" w:rsidRPr="006944B3">
        <w:t>sobre expectativa</w:t>
      </w:r>
      <w:r w:rsidRPr="006944B3">
        <w:t xml:space="preserve"> tecnológica [3</w:t>
      </w:r>
      <w:r w:rsidR="00BC15E1" w:rsidRPr="006944B3">
        <w:t>9</w:t>
      </w:r>
      <w:r w:rsidRPr="006944B3">
        <w:t>]</w:t>
      </w:r>
      <w:r w:rsidR="00BC15E1" w:rsidRPr="006944B3">
        <w:t>-</w:t>
      </w:r>
      <w:r w:rsidRPr="006944B3">
        <w:t>[</w:t>
      </w:r>
      <w:r w:rsidR="00BC15E1" w:rsidRPr="006944B3">
        <w:t>40</w:t>
      </w:r>
      <w:r w:rsidRPr="006944B3">
        <w:t>].</w:t>
      </w:r>
    </w:p>
    <w:p w14:paraId="2183EB1F" w14:textId="28FFBE16" w:rsidR="005F1E08" w:rsidRDefault="005F1E08" w:rsidP="005F1E08">
      <w:pPr>
        <w:spacing w:line="276" w:lineRule="auto"/>
        <w:jc w:val="both"/>
      </w:pPr>
      <w:r w:rsidRPr="006944B3">
        <w:t xml:space="preserve">       Las oportunidades detectadas incluyen no solo transparencia y confianza ciudadana [</w:t>
      </w:r>
      <w:r w:rsidR="003D7130" w:rsidRPr="006944B3">
        <w:t>27</w:t>
      </w:r>
      <w:r w:rsidRPr="006944B3">
        <w:t>], [</w:t>
      </w:r>
      <w:r w:rsidR="008A2D8D" w:rsidRPr="006944B3">
        <w:t>4</w:t>
      </w:r>
      <w:r w:rsidR="00BC15E1" w:rsidRPr="006944B3">
        <w:t>5</w:t>
      </w:r>
      <w:r w:rsidRPr="006944B3">
        <w:t>], sino también eficiencia administrativa [</w:t>
      </w:r>
      <w:r w:rsidR="008A2D8D" w:rsidRPr="006944B3">
        <w:t>43</w:t>
      </w:r>
      <w:r w:rsidR="00BC15E1" w:rsidRPr="006944B3">
        <w:t>], [</w:t>
      </w:r>
      <w:r w:rsidR="008A2D8D" w:rsidRPr="006944B3">
        <w:t>4</w:t>
      </w:r>
      <w:r w:rsidR="00BC15E1" w:rsidRPr="006944B3">
        <w:t>6</w:t>
      </w:r>
      <w:r w:rsidRPr="006944B3">
        <w:t>], empoderamiento ciudadano [19], innovación interinstitucional [</w:t>
      </w:r>
      <w:r w:rsidR="008A2D8D" w:rsidRPr="006944B3">
        <w:t>4</w:t>
      </w:r>
      <w:r w:rsidR="00BC15E1" w:rsidRPr="006944B3">
        <w:t>7</w:t>
      </w:r>
      <w:r w:rsidRPr="006944B3">
        <w:t>], e integración con nuevas tecnologías en logística y transporte [</w:t>
      </w:r>
      <w:r w:rsidR="008A2D8D" w:rsidRPr="006944B3">
        <w:t>4</w:t>
      </w:r>
      <w:r w:rsidR="00BC15E1" w:rsidRPr="006944B3">
        <w:t>8</w:t>
      </w:r>
      <w:r w:rsidRPr="006944B3">
        <w:t xml:space="preserve">]. </w:t>
      </w:r>
      <w:r w:rsidR="00A3560E" w:rsidRPr="006944B3">
        <w:t>S</w:t>
      </w:r>
      <w:r w:rsidRPr="006944B3">
        <w:t xml:space="preserve">in embargo, </w:t>
      </w:r>
      <w:r w:rsidR="00A3560E">
        <w:t xml:space="preserve">estos beneficios </w:t>
      </w:r>
      <w:r w:rsidRPr="006944B3">
        <w:t>solo se materializan cuando existen estrategias acompañadas de voluntad política, infraestructura digital y capacidades humanas reforzadas [</w:t>
      </w:r>
      <w:r w:rsidR="006944B3" w:rsidRPr="006944B3">
        <w:t>4</w:t>
      </w:r>
      <w:r w:rsidR="00BC15E1" w:rsidRPr="006944B3">
        <w:t>9</w:t>
      </w:r>
      <w:r w:rsidRPr="006944B3">
        <w:t>]-[</w:t>
      </w:r>
      <w:r w:rsidR="006944B3" w:rsidRPr="006944B3">
        <w:t>51</w:t>
      </w:r>
      <w:r w:rsidRPr="006944B3">
        <w:t>].</w:t>
      </w:r>
      <w:r w:rsidRPr="006944B3">
        <w:br/>
        <w:t xml:space="preserve">      En general, se puede afirmar que</w:t>
      </w:r>
      <w:r w:rsidR="00A3560E">
        <w:t>,</w:t>
      </w:r>
      <w:r w:rsidRPr="006944B3">
        <w:t xml:space="preserve"> la </w:t>
      </w:r>
      <w:r w:rsidR="00A3560E" w:rsidRPr="006944B3">
        <w:t xml:space="preserve">blockchain </w:t>
      </w:r>
      <w:r w:rsidRPr="006944B3">
        <w:t>bien implementada puede</w:t>
      </w:r>
      <w:r w:rsidR="00A3560E">
        <w:t xml:space="preserve"> llegar a</w:t>
      </w:r>
      <w:r w:rsidRPr="006944B3">
        <w:t xml:space="preserve"> ser un poderoso catalizador de gobiernos más eficientes, transparentes e inclusivos. </w:t>
      </w:r>
      <w:r w:rsidR="00A3560E">
        <w:t>Por otro lado, en l</w:t>
      </w:r>
      <w:r w:rsidRPr="006944B3">
        <w:t xml:space="preserve">os casos revisados </w:t>
      </w:r>
      <w:r w:rsidR="00A3560E">
        <w:t xml:space="preserve">se </w:t>
      </w:r>
      <w:r w:rsidRPr="006944B3">
        <w:t>demuestra que su éxito depende menos de la tecnología en sí misma y más de la capacidad institucional para adaptar marcos legales, promover colaboración interinstitucional y generar confianza ciudadana [</w:t>
      </w:r>
      <w:r w:rsidR="003C5A93" w:rsidRPr="006944B3">
        <w:t>38</w:t>
      </w:r>
      <w:r w:rsidR="006F5257" w:rsidRPr="006944B3">
        <w:t>], [</w:t>
      </w:r>
      <w:r w:rsidR="006944B3" w:rsidRPr="006944B3">
        <w:t>50</w:t>
      </w:r>
      <w:r w:rsidR="00BC15E1" w:rsidRPr="006944B3">
        <w:t>]</w:t>
      </w:r>
      <w:r w:rsidRPr="006944B3">
        <w:t xml:space="preserve">. </w:t>
      </w:r>
      <w:r w:rsidR="00A3560E">
        <w:t>Por lo tanto</w:t>
      </w:r>
      <w:r w:rsidRPr="006944B3">
        <w:t xml:space="preserve">, el verdadero potencial de blockchain en el sector público radica en </w:t>
      </w:r>
      <w:r w:rsidR="00A3560E">
        <w:t>fortalecer</w:t>
      </w:r>
      <w:r w:rsidRPr="006944B3">
        <w:t xml:space="preserve"> las instituciones, </w:t>
      </w:r>
      <w:r w:rsidR="00A3560E">
        <w:t xml:space="preserve">porque </w:t>
      </w:r>
      <w:r w:rsidRPr="006944B3">
        <w:t xml:space="preserve">aporta nuevas herramientas para enfrentar los </w:t>
      </w:r>
      <w:r w:rsidR="00A3560E">
        <w:t>problemas</w:t>
      </w:r>
      <w:r w:rsidRPr="006944B3">
        <w:t xml:space="preserve"> de la gobernanza pública en el siglo XXI.</w:t>
      </w:r>
    </w:p>
    <w:p w14:paraId="72E1E016" w14:textId="3180F84C" w:rsidR="00B433E1" w:rsidRDefault="00B433E1" w:rsidP="00B433E1">
      <w:pPr>
        <w:jc w:val="both"/>
      </w:pPr>
      <w:r>
        <w:t xml:space="preserve">      </w:t>
      </w:r>
      <w:r w:rsidRPr="00B433E1">
        <w:t xml:space="preserve">Por último, </w:t>
      </w:r>
      <w:r>
        <w:t>se realizó l</w:t>
      </w:r>
      <w:r w:rsidRPr="00B433E1">
        <w:t>a Tabla 6 y la Figura 3</w:t>
      </w:r>
      <w:r w:rsidR="00FC3EED">
        <w:t xml:space="preserve"> que</w:t>
      </w:r>
      <w:r w:rsidRPr="00B433E1">
        <w:t xml:space="preserve"> muestran la clasificación de los 35 documentos analizados según su tipo de fuente. </w:t>
      </w:r>
      <w:r w:rsidR="00FC3EED">
        <w:t>Como se puede observar, p</w:t>
      </w:r>
      <w:r w:rsidRPr="00B433E1">
        <w:t xml:space="preserve">redomina la literatura científica revisada por pares (28 documentos), seguida por fuentes del sector privado o especializado (4), producción académica institucional (2) y una fuente institucional gubernamental. Esta distribución evidencia un sólido respaldo académico en el análisis, </w:t>
      </w:r>
      <w:r w:rsidRPr="00B433E1">
        <w:lastRenderedPageBreak/>
        <w:t>complementado con enfoques prácticos y contextuales que enriquecen la comprensión del fenómeno.</w:t>
      </w:r>
    </w:p>
    <w:p w14:paraId="0BCE1B48" w14:textId="77777777" w:rsidR="00B433E1" w:rsidRDefault="00B433E1" w:rsidP="00B433E1">
      <w:pPr>
        <w:jc w:val="both"/>
      </w:pPr>
    </w:p>
    <w:p w14:paraId="6FC60D86" w14:textId="01B0B977" w:rsidR="00B433E1" w:rsidRPr="00B433E1" w:rsidRDefault="00B433E1" w:rsidP="00B433E1">
      <w:pPr>
        <w:pStyle w:val="Descripcin"/>
        <w:keepNext/>
        <w:jc w:val="center"/>
        <w:rPr>
          <w:i w:val="0"/>
          <w:iCs w:val="0"/>
          <w:color w:val="auto"/>
          <w:sz w:val="20"/>
          <w:szCs w:val="20"/>
        </w:rPr>
      </w:pPr>
      <w:r w:rsidRPr="00B433E1">
        <w:rPr>
          <w:b/>
          <w:bCs/>
          <w:i w:val="0"/>
          <w:iCs w:val="0"/>
          <w:color w:val="auto"/>
          <w:sz w:val="20"/>
          <w:szCs w:val="20"/>
        </w:rPr>
        <w:t xml:space="preserve">Tabla </w:t>
      </w:r>
      <w:r w:rsidRPr="00B433E1">
        <w:rPr>
          <w:b/>
          <w:bCs/>
          <w:i w:val="0"/>
          <w:iCs w:val="0"/>
          <w:color w:val="auto"/>
          <w:sz w:val="20"/>
          <w:szCs w:val="20"/>
        </w:rPr>
        <w:fldChar w:fldCharType="begin"/>
      </w:r>
      <w:r w:rsidRPr="00B433E1">
        <w:rPr>
          <w:b/>
          <w:bCs/>
          <w:i w:val="0"/>
          <w:iCs w:val="0"/>
          <w:color w:val="auto"/>
          <w:sz w:val="20"/>
          <w:szCs w:val="20"/>
        </w:rPr>
        <w:instrText xml:space="preserve"> SEQ Tabla \* ARABIC </w:instrText>
      </w:r>
      <w:r w:rsidRPr="00B433E1">
        <w:rPr>
          <w:b/>
          <w:bCs/>
          <w:i w:val="0"/>
          <w:iCs w:val="0"/>
          <w:color w:val="auto"/>
          <w:sz w:val="20"/>
          <w:szCs w:val="20"/>
        </w:rPr>
        <w:fldChar w:fldCharType="separate"/>
      </w:r>
      <w:r w:rsidRPr="00B433E1">
        <w:rPr>
          <w:b/>
          <w:bCs/>
          <w:i w:val="0"/>
          <w:iCs w:val="0"/>
          <w:noProof/>
          <w:color w:val="auto"/>
          <w:sz w:val="20"/>
          <w:szCs w:val="20"/>
        </w:rPr>
        <w:t>7</w:t>
      </w:r>
      <w:r w:rsidRPr="00B433E1">
        <w:rPr>
          <w:b/>
          <w:bCs/>
          <w:i w:val="0"/>
          <w:iCs w:val="0"/>
          <w:color w:val="auto"/>
          <w:sz w:val="20"/>
          <w:szCs w:val="20"/>
        </w:rPr>
        <w:fldChar w:fldCharType="end"/>
      </w:r>
      <w:r w:rsidRPr="00B433E1">
        <w:rPr>
          <w:i w:val="0"/>
          <w:iCs w:val="0"/>
          <w:color w:val="auto"/>
          <w:sz w:val="20"/>
          <w:szCs w:val="20"/>
        </w:rPr>
        <w:t>. Total de documentos encontrados según el tipo</w:t>
      </w:r>
    </w:p>
    <w:tbl>
      <w:tblPr>
        <w:tblStyle w:val="Tablanormal2"/>
        <w:tblW w:w="5000" w:type="pct"/>
        <w:tblLook w:val="04A0" w:firstRow="1" w:lastRow="0" w:firstColumn="1" w:lastColumn="0" w:noHBand="0" w:noVBand="1"/>
      </w:tblPr>
      <w:tblGrid>
        <w:gridCol w:w="7329"/>
        <w:gridCol w:w="1991"/>
      </w:tblGrid>
      <w:tr w:rsidR="00B433E1" w:rsidRPr="00B433E1" w14:paraId="08867734" w14:textId="77777777" w:rsidTr="00B433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2" w:type="pct"/>
            <w:shd w:val="clear" w:color="auto" w:fill="D9D9D9" w:themeFill="background1" w:themeFillShade="D9"/>
            <w:hideMark/>
          </w:tcPr>
          <w:p w14:paraId="487AE91F" w14:textId="689D7FB4" w:rsidR="00B433E1" w:rsidRPr="00B433E1" w:rsidRDefault="00B433E1" w:rsidP="00B433E1">
            <w:pPr>
              <w:pStyle w:val="TableParagraph"/>
              <w:rPr>
                <w:sz w:val="18"/>
                <w:szCs w:val="18"/>
                <w:lang w:val="es-CO" w:eastAsia="en-GB"/>
              </w:rPr>
            </w:pPr>
            <w:r w:rsidRPr="00B433E1">
              <w:rPr>
                <w:sz w:val="18"/>
                <w:szCs w:val="18"/>
                <w:lang w:val="es-CO" w:eastAsia="en-GB"/>
              </w:rPr>
              <w:t>CLASIFICACIÓN</w:t>
            </w:r>
          </w:p>
        </w:tc>
        <w:tc>
          <w:tcPr>
            <w:tcW w:w="1068" w:type="pct"/>
            <w:shd w:val="clear" w:color="auto" w:fill="D9D9D9" w:themeFill="background1" w:themeFillShade="D9"/>
            <w:hideMark/>
          </w:tcPr>
          <w:p w14:paraId="2E4E2FA4" w14:textId="104A8494" w:rsidR="00B433E1" w:rsidRPr="00B433E1" w:rsidRDefault="00B433E1" w:rsidP="00B433E1">
            <w:pPr>
              <w:pStyle w:val="TableParagraph"/>
              <w:cnfStyle w:val="100000000000" w:firstRow="1" w:lastRow="0" w:firstColumn="0" w:lastColumn="0" w:oddVBand="0" w:evenVBand="0" w:oddHBand="0" w:evenHBand="0" w:firstRowFirstColumn="0" w:firstRowLastColumn="0" w:lastRowFirstColumn="0" w:lastRowLastColumn="0"/>
              <w:rPr>
                <w:sz w:val="18"/>
                <w:szCs w:val="18"/>
                <w:lang w:val="es-CO" w:eastAsia="en-GB"/>
              </w:rPr>
            </w:pPr>
            <w:r w:rsidRPr="00B433E1">
              <w:rPr>
                <w:sz w:val="18"/>
                <w:szCs w:val="18"/>
                <w:lang w:val="es-CO" w:eastAsia="en-GB"/>
              </w:rPr>
              <w:t>CANTIDAD</w:t>
            </w:r>
          </w:p>
        </w:tc>
      </w:tr>
      <w:tr w:rsidR="00B433E1" w:rsidRPr="00B433E1" w14:paraId="5BA7CCC0" w14:textId="77777777" w:rsidTr="00B433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2" w:type="pct"/>
            <w:hideMark/>
          </w:tcPr>
          <w:p w14:paraId="2997CA74" w14:textId="77777777" w:rsidR="00B433E1" w:rsidRPr="00B433E1" w:rsidRDefault="00B433E1" w:rsidP="00B433E1">
            <w:pPr>
              <w:pStyle w:val="TableParagraph"/>
              <w:rPr>
                <w:b w:val="0"/>
                <w:bCs w:val="0"/>
                <w:sz w:val="18"/>
                <w:szCs w:val="18"/>
                <w:lang w:val="es-CO" w:eastAsia="en-GB"/>
              </w:rPr>
            </w:pPr>
            <w:r w:rsidRPr="00B433E1">
              <w:rPr>
                <w:b w:val="0"/>
                <w:bCs w:val="0"/>
                <w:sz w:val="18"/>
                <w:szCs w:val="18"/>
                <w:lang w:val="es-CO" w:eastAsia="en-GB"/>
              </w:rPr>
              <w:t>Literatura científica (revisión por pares)</w:t>
            </w:r>
          </w:p>
        </w:tc>
        <w:tc>
          <w:tcPr>
            <w:tcW w:w="1068" w:type="pct"/>
            <w:hideMark/>
          </w:tcPr>
          <w:p w14:paraId="3F3E7F56" w14:textId="77777777" w:rsidR="00B433E1" w:rsidRPr="00B433E1" w:rsidRDefault="00B433E1" w:rsidP="00B433E1">
            <w:pPr>
              <w:pStyle w:val="TableParagraph"/>
              <w:cnfStyle w:val="000000100000" w:firstRow="0" w:lastRow="0" w:firstColumn="0" w:lastColumn="0" w:oddVBand="0" w:evenVBand="0" w:oddHBand="1" w:evenHBand="0" w:firstRowFirstColumn="0" w:firstRowLastColumn="0" w:lastRowFirstColumn="0" w:lastRowLastColumn="0"/>
              <w:rPr>
                <w:sz w:val="18"/>
                <w:szCs w:val="18"/>
                <w:lang w:val="es-CO" w:eastAsia="en-GB"/>
              </w:rPr>
            </w:pPr>
            <w:r w:rsidRPr="00B433E1">
              <w:rPr>
                <w:sz w:val="18"/>
                <w:szCs w:val="18"/>
                <w:lang w:val="es-CO" w:eastAsia="en-GB"/>
              </w:rPr>
              <w:t>28</w:t>
            </w:r>
          </w:p>
        </w:tc>
      </w:tr>
      <w:tr w:rsidR="00B433E1" w:rsidRPr="00B433E1" w14:paraId="21EB2FB3" w14:textId="77777777" w:rsidTr="00B433E1">
        <w:tc>
          <w:tcPr>
            <w:cnfStyle w:val="001000000000" w:firstRow="0" w:lastRow="0" w:firstColumn="1" w:lastColumn="0" w:oddVBand="0" w:evenVBand="0" w:oddHBand="0" w:evenHBand="0" w:firstRowFirstColumn="0" w:firstRowLastColumn="0" w:lastRowFirstColumn="0" w:lastRowLastColumn="0"/>
            <w:tcW w:w="3932" w:type="pct"/>
            <w:hideMark/>
          </w:tcPr>
          <w:p w14:paraId="4F66B8AB" w14:textId="77777777" w:rsidR="00B433E1" w:rsidRPr="00B433E1" w:rsidRDefault="00B433E1" w:rsidP="00B433E1">
            <w:pPr>
              <w:pStyle w:val="TableParagraph"/>
              <w:rPr>
                <w:b w:val="0"/>
                <w:bCs w:val="0"/>
                <w:sz w:val="18"/>
                <w:szCs w:val="18"/>
                <w:lang w:val="es-CO" w:eastAsia="en-GB"/>
              </w:rPr>
            </w:pPr>
            <w:r w:rsidRPr="00B433E1">
              <w:rPr>
                <w:b w:val="0"/>
                <w:bCs w:val="0"/>
                <w:sz w:val="18"/>
                <w:szCs w:val="18"/>
                <w:lang w:val="es-CO" w:eastAsia="en-GB"/>
              </w:rPr>
              <w:t>Sector privado / especializado</w:t>
            </w:r>
          </w:p>
        </w:tc>
        <w:tc>
          <w:tcPr>
            <w:tcW w:w="1068" w:type="pct"/>
            <w:hideMark/>
          </w:tcPr>
          <w:p w14:paraId="32C74692" w14:textId="77777777" w:rsidR="00B433E1" w:rsidRPr="00B433E1" w:rsidRDefault="00B433E1" w:rsidP="00B433E1">
            <w:pPr>
              <w:pStyle w:val="TableParagraph"/>
              <w:cnfStyle w:val="000000000000" w:firstRow="0" w:lastRow="0" w:firstColumn="0" w:lastColumn="0" w:oddVBand="0" w:evenVBand="0" w:oddHBand="0" w:evenHBand="0" w:firstRowFirstColumn="0" w:firstRowLastColumn="0" w:lastRowFirstColumn="0" w:lastRowLastColumn="0"/>
              <w:rPr>
                <w:sz w:val="18"/>
                <w:szCs w:val="18"/>
                <w:lang w:val="es-CO" w:eastAsia="en-GB"/>
              </w:rPr>
            </w:pPr>
            <w:r w:rsidRPr="00B433E1">
              <w:rPr>
                <w:sz w:val="18"/>
                <w:szCs w:val="18"/>
                <w:lang w:val="es-CO" w:eastAsia="en-GB"/>
              </w:rPr>
              <w:t>4</w:t>
            </w:r>
          </w:p>
        </w:tc>
      </w:tr>
      <w:tr w:rsidR="00B433E1" w:rsidRPr="00B433E1" w14:paraId="21485273" w14:textId="77777777" w:rsidTr="00B433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2" w:type="pct"/>
            <w:hideMark/>
          </w:tcPr>
          <w:p w14:paraId="5691A5A4" w14:textId="77777777" w:rsidR="00B433E1" w:rsidRPr="00B433E1" w:rsidRDefault="00B433E1" w:rsidP="00B433E1">
            <w:pPr>
              <w:pStyle w:val="TableParagraph"/>
              <w:rPr>
                <w:b w:val="0"/>
                <w:bCs w:val="0"/>
                <w:sz w:val="18"/>
                <w:szCs w:val="18"/>
                <w:lang w:val="es-CO" w:eastAsia="en-GB"/>
              </w:rPr>
            </w:pPr>
            <w:r w:rsidRPr="00B433E1">
              <w:rPr>
                <w:b w:val="0"/>
                <w:bCs w:val="0"/>
                <w:sz w:val="18"/>
                <w:szCs w:val="18"/>
                <w:lang w:val="es-CO" w:eastAsia="en-GB"/>
              </w:rPr>
              <w:t>Producción académica institucional</w:t>
            </w:r>
          </w:p>
        </w:tc>
        <w:tc>
          <w:tcPr>
            <w:tcW w:w="1068" w:type="pct"/>
            <w:hideMark/>
          </w:tcPr>
          <w:p w14:paraId="2C8C6696" w14:textId="77777777" w:rsidR="00B433E1" w:rsidRPr="00B433E1" w:rsidRDefault="00B433E1" w:rsidP="00B433E1">
            <w:pPr>
              <w:pStyle w:val="TableParagraph"/>
              <w:cnfStyle w:val="000000100000" w:firstRow="0" w:lastRow="0" w:firstColumn="0" w:lastColumn="0" w:oddVBand="0" w:evenVBand="0" w:oddHBand="1" w:evenHBand="0" w:firstRowFirstColumn="0" w:firstRowLastColumn="0" w:lastRowFirstColumn="0" w:lastRowLastColumn="0"/>
              <w:rPr>
                <w:sz w:val="18"/>
                <w:szCs w:val="18"/>
                <w:lang w:val="es-CO" w:eastAsia="en-GB"/>
              </w:rPr>
            </w:pPr>
            <w:r w:rsidRPr="00B433E1">
              <w:rPr>
                <w:sz w:val="18"/>
                <w:szCs w:val="18"/>
                <w:lang w:val="es-CO" w:eastAsia="en-GB"/>
              </w:rPr>
              <w:t>2</w:t>
            </w:r>
          </w:p>
        </w:tc>
      </w:tr>
      <w:tr w:rsidR="00B433E1" w:rsidRPr="00B433E1" w14:paraId="56462459" w14:textId="77777777" w:rsidTr="00B433E1">
        <w:tc>
          <w:tcPr>
            <w:cnfStyle w:val="001000000000" w:firstRow="0" w:lastRow="0" w:firstColumn="1" w:lastColumn="0" w:oddVBand="0" w:evenVBand="0" w:oddHBand="0" w:evenHBand="0" w:firstRowFirstColumn="0" w:firstRowLastColumn="0" w:lastRowFirstColumn="0" w:lastRowLastColumn="0"/>
            <w:tcW w:w="3932" w:type="pct"/>
            <w:hideMark/>
          </w:tcPr>
          <w:p w14:paraId="6E8FC3F7" w14:textId="77777777" w:rsidR="00B433E1" w:rsidRPr="00B433E1" w:rsidRDefault="00B433E1" w:rsidP="00B433E1">
            <w:pPr>
              <w:pStyle w:val="TableParagraph"/>
              <w:rPr>
                <w:b w:val="0"/>
                <w:bCs w:val="0"/>
                <w:sz w:val="18"/>
                <w:szCs w:val="18"/>
                <w:lang w:val="es-CO" w:eastAsia="en-GB"/>
              </w:rPr>
            </w:pPr>
            <w:r w:rsidRPr="00B433E1">
              <w:rPr>
                <w:b w:val="0"/>
                <w:bCs w:val="0"/>
                <w:sz w:val="18"/>
                <w:szCs w:val="18"/>
                <w:lang w:val="es-CO" w:eastAsia="en-GB"/>
              </w:rPr>
              <w:t>Fuente institucional / gubernamental</w:t>
            </w:r>
          </w:p>
        </w:tc>
        <w:tc>
          <w:tcPr>
            <w:tcW w:w="1068" w:type="pct"/>
            <w:hideMark/>
          </w:tcPr>
          <w:p w14:paraId="1C5DD1CB" w14:textId="77777777" w:rsidR="00B433E1" w:rsidRPr="00B433E1" w:rsidRDefault="00B433E1" w:rsidP="00B433E1">
            <w:pPr>
              <w:pStyle w:val="TableParagraph"/>
              <w:cnfStyle w:val="000000000000" w:firstRow="0" w:lastRow="0" w:firstColumn="0" w:lastColumn="0" w:oddVBand="0" w:evenVBand="0" w:oddHBand="0" w:evenHBand="0" w:firstRowFirstColumn="0" w:firstRowLastColumn="0" w:lastRowFirstColumn="0" w:lastRowLastColumn="0"/>
              <w:rPr>
                <w:sz w:val="18"/>
                <w:szCs w:val="18"/>
                <w:lang w:val="es-CO" w:eastAsia="en-GB"/>
              </w:rPr>
            </w:pPr>
            <w:r w:rsidRPr="00B433E1">
              <w:rPr>
                <w:sz w:val="18"/>
                <w:szCs w:val="18"/>
                <w:lang w:val="es-CO" w:eastAsia="en-GB"/>
              </w:rPr>
              <w:t>1</w:t>
            </w:r>
          </w:p>
        </w:tc>
      </w:tr>
    </w:tbl>
    <w:p w14:paraId="0F449AE9" w14:textId="77777777" w:rsidR="00B433E1" w:rsidRPr="006944B3" w:rsidRDefault="00B433E1" w:rsidP="00B433E1">
      <w:pPr>
        <w:spacing w:before="139" w:after="240"/>
        <w:ind w:right="730"/>
        <w:jc w:val="center"/>
        <w:rPr>
          <w:spacing w:val="-2"/>
        </w:rPr>
      </w:pPr>
      <w:r w:rsidRPr="006944B3">
        <w:rPr>
          <w:b/>
        </w:rPr>
        <w:t>Fuente:</w:t>
      </w:r>
      <w:r w:rsidRPr="006944B3">
        <w:rPr>
          <w:b/>
          <w:spacing w:val="-9"/>
        </w:rPr>
        <w:t xml:space="preserve"> </w:t>
      </w:r>
      <w:r w:rsidRPr="006944B3">
        <w:rPr>
          <w:spacing w:val="-2"/>
        </w:rPr>
        <w:t>Autores.</w:t>
      </w:r>
    </w:p>
    <w:p w14:paraId="63E44D6B" w14:textId="77777777" w:rsidR="00B433E1" w:rsidRPr="00B433E1" w:rsidRDefault="00B433E1" w:rsidP="00B433E1">
      <w:pPr>
        <w:jc w:val="both"/>
      </w:pPr>
    </w:p>
    <w:p w14:paraId="5E5E9B42" w14:textId="245B2FD2" w:rsidR="00B433E1" w:rsidRDefault="00B433E1" w:rsidP="00B433E1">
      <w:pPr>
        <w:jc w:val="both"/>
      </w:pPr>
      <w:r>
        <w:t xml:space="preserve">       </w:t>
      </w:r>
      <w:r w:rsidR="00FC3EED">
        <w:t xml:space="preserve">En la </w:t>
      </w:r>
      <w:r w:rsidRPr="00B433E1">
        <w:t xml:space="preserve">Figura </w:t>
      </w:r>
      <w:r>
        <w:t>9</w:t>
      </w:r>
      <w:r w:rsidR="00FC3EED">
        <w:t xml:space="preserve"> se puede apreciar</w:t>
      </w:r>
      <w:r w:rsidRPr="00B433E1">
        <w:t xml:space="preserve"> </w:t>
      </w:r>
      <w:r w:rsidR="00FC3EED">
        <w:t>de forma clara</w:t>
      </w:r>
      <w:r w:rsidRPr="00B433E1">
        <w:t xml:space="preserve"> la predominancia de</w:t>
      </w:r>
      <w:r w:rsidR="00FC3EED">
        <w:t xml:space="preserve"> la literatura científica en los documentos considerados</w:t>
      </w:r>
      <w:r w:rsidRPr="00B433E1">
        <w:t xml:space="preserve">, sin dejar de lado la relevancia de integrar </w:t>
      </w:r>
      <w:r w:rsidR="00FC3EED">
        <w:t>la parte técnica</w:t>
      </w:r>
      <w:r w:rsidRPr="00B433E1">
        <w:t xml:space="preserve"> y aplicada. Esta triangulación de fuentes</w:t>
      </w:r>
      <w:r w:rsidR="00FC3EED">
        <w:t xml:space="preserve"> permite </w:t>
      </w:r>
      <w:r w:rsidR="005020F9">
        <w:t xml:space="preserve">garantizar </w:t>
      </w:r>
      <w:r w:rsidRPr="00B433E1">
        <w:t xml:space="preserve">la validez del estudio y </w:t>
      </w:r>
      <w:r w:rsidR="005020F9">
        <w:t>permite tener una base</w:t>
      </w:r>
      <w:r w:rsidRPr="00B433E1">
        <w:t xml:space="preserve"> para</w:t>
      </w:r>
      <w:r w:rsidR="005020F9">
        <w:t xml:space="preserve"> las</w:t>
      </w:r>
      <w:r w:rsidRPr="00B433E1">
        <w:t xml:space="preserve"> futuras investigaciones </w:t>
      </w:r>
      <w:r w:rsidR="005020F9">
        <w:t>en el tema tratado en este artículo</w:t>
      </w:r>
      <w:r w:rsidRPr="00B433E1">
        <w:t>.</w:t>
      </w:r>
    </w:p>
    <w:p w14:paraId="202A9E5A" w14:textId="77777777" w:rsidR="00B433E1" w:rsidRPr="00B433E1" w:rsidRDefault="00B433E1" w:rsidP="00B433E1">
      <w:pPr>
        <w:keepNext/>
        <w:spacing w:before="240"/>
        <w:jc w:val="center"/>
      </w:pPr>
      <w:r w:rsidRPr="00B433E1">
        <w:rPr>
          <w:noProof/>
        </w:rPr>
        <w:drawing>
          <wp:inline distT="0" distB="0" distL="0" distR="0" wp14:anchorId="4D43EB36" wp14:editId="41A34897">
            <wp:extent cx="5858540" cy="2743200"/>
            <wp:effectExtent l="0" t="0" r="8890" b="0"/>
            <wp:docPr id="26" name="Gráfico 26">
              <a:extLst xmlns:a="http://schemas.openxmlformats.org/drawingml/2006/main">
                <a:ext uri="{FF2B5EF4-FFF2-40B4-BE49-F238E27FC236}">
                  <a16:creationId xmlns:a16="http://schemas.microsoft.com/office/drawing/2014/main" id="{F592268A-C016-42E3-879C-6720386E7C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0C87FBD" w14:textId="778CB8D3" w:rsidR="00B433E1" w:rsidRPr="00B433E1" w:rsidRDefault="00B433E1" w:rsidP="00B433E1">
      <w:pPr>
        <w:pStyle w:val="Descripcin"/>
        <w:jc w:val="center"/>
        <w:rPr>
          <w:i w:val="0"/>
          <w:iCs w:val="0"/>
          <w:color w:val="auto"/>
          <w:sz w:val="22"/>
          <w:szCs w:val="22"/>
        </w:rPr>
      </w:pPr>
      <w:r w:rsidRPr="00B433E1">
        <w:rPr>
          <w:b/>
          <w:bCs/>
          <w:i w:val="0"/>
          <w:iCs w:val="0"/>
          <w:color w:val="auto"/>
          <w:sz w:val="22"/>
          <w:szCs w:val="22"/>
        </w:rPr>
        <w:t xml:space="preserve">Figura </w:t>
      </w:r>
      <w:r w:rsidRPr="00B433E1">
        <w:rPr>
          <w:b/>
          <w:bCs/>
          <w:i w:val="0"/>
          <w:iCs w:val="0"/>
          <w:color w:val="auto"/>
          <w:sz w:val="22"/>
          <w:szCs w:val="22"/>
        </w:rPr>
        <w:fldChar w:fldCharType="begin"/>
      </w:r>
      <w:r w:rsidRPr="00B433E1">
        <w:rPr>
          <w:b/>
          <w:bCs/>
          <w:i w:val="0"/>
          <w:iCs w:val="0"/>
          <w:color w:val="auto"/>
          <w:sz w:val="22"/>
          <w:szCs w:val="22"/>
        </w:rPr>
        <w:instrText xml:space="preserve"> SEQ Figura \* ARABIC </w:instrText>
      </w:r>
      <w:r w:rsidRPr="00B433E1">
        <w:rPr>
          <w:b/>
          <w:bCs/>
          <w:i w:val="0"/>
          <w:iCs w:val="0"/>
          <w:color w:val="auto"/>
          <w:sz w:val="22"/>
          <w:szCs w:val="22"/>
        </w:rPr>
        <w:fldChar w:fldCharType="separate"/>
      </w:r>
      <w:r w:rsidRPr="00B433E1">
        <w:rPr>
          <w:b/>
          <w:bCs/>
          <w:i w:val="0"/>
          <w:iCs w:val="0"/>
          <w:noProof/>
          <w:color w:val="auto"/>
          <w:sz w:val="22"/>
          <w:szCs w:val="22"/>
        </w:rPr>
        <w:t>9</w:t>
      </w:r>
      <w:r w:rsidRPr="00B433E1">
        <w:rPr>
          <w:b/>
          <w:bCs/>
          <w:i w:val="0"/>
          <w:iCs w:val="0"/>
          <w:color w:val="auto"/>
          <w:sz w:val="22"/>
          <w:szCs w:val="22"/>
        </w:rPr>
        <w:fldChar w:fldCharType="end"/>
      </w:r>
      <w:r w:rsidRPr="00B433E1">
        <w:rPr>
          <w:i w:val="0"/>
          <w:iCs w:val="0"/>
          <w:color w:val="auto"/>
          <w:sz w:val="22"/>
          <w:szCs w:val="22"/>
        </w:rPr>
        <w:t>. Distribución de los documentos por tipo de fuente</w:t>
      </w:r>
    </w:p>
    <w:p w14:paraId="30CDA02B" w14:textId="77777777" w:rsidR="00B433E1" w:rsidRPr="006944B3" w:rsidRDefault="00B433E1" w:rsidP="00B433E1">
      <w:pPr>
        <w:ind w:left="757" w:right="730"/>
        <w:jc w:val="center"/>
      </w:pPr>
      <w:r w:rsidRPr="006944B3">
        <w:rPr>
          <w:b/>
        </w:rPr>
        <w:t>Fuente:</w:t>
      </w:r>
      <w:r w:rsidRPr="006944B3">
        <w:rPr>
          <w:b/>
          <w:spacing w:val="-9"/>
        </w:rPr>
        <w:t xml:space="preserve"> </w:t>
      </w:r>
      <w:r w:rsidRPr="006944B3">
        <w:rPr>
          <w:spacing w:val="-2"/>
        </w:rPr>
        <w:t>Autores.</w:t>
      </w:r>
    </w:p>
    <w:p w14:paraId="762C2A1B" w14:textId="6E772923" w:rsidR="00B433E1" w:rsidRPr="005F1E08" w:rsidRDefault="00B433E1" w:rsidP="005F1E08">
      <w:pPr>
        <w:spacing w:line="276" w:lineRule="auto"/>
        <w:jc w:val="both"/>
      </w:pPr>
    </w:p>
    <w:p w14:paraId="3A9AB6BE" w14:textId="166969B8" w:rsidR="00F669D3" w:rsidRDefault="009135BB" w:rsidP="005F1E08">
      <w:pPr>
        <w:spacing w:line="276" w:lineRule="auto"/>
        <w:jc w:val="both"/>
      </w:pPr>
      <w:r>
        <w:t xml:space="preserve">      </w:t>
      </w:r>
      <w:r w:rsidR="005020F9">
        <w:t>En conjunto</w:t>
      </w:r>
      <w:r w:rsidR="00B433E1">
        <w:t xml:space="preserve">, </w:t>
      </w:r>
      <w:r w:rsidR="005020F9">
        <w:t xml:space="preserve">se puede mencionar que </w:t>
      </w:r>
      <w:r w:rsidR="00B433E1">
        <w:t>el análisis bibliométrico, temático y de contenido permitió mapear el estado actual del conocimiento sobre blockchain en el sector público</w:t>
      </w:r>
      <w:r w:rsidR="005020F9">
        <w:t xml:space="preserve"> e</w:t>
      </w:r>
      <w:r w:rsidR="00B433E1">
        <w:t xml:space="preserve"> identificar aplicaciones reales, oportunidades emergentes y desafíos. </w:t>
      </w:r>
      <w:r w:rsidR="005020F9">
        <w:t xml:space="preserve">Por otra parte, se tiene que hay una </w:t>
      </w:r>
      <w:r w:rsidR="00B433E1">
        <w:t>convergencia entre literatura científica, documentos institucionales y fuentes especializadas</w:t>
      </w:r>
      <w:r w:rsidR="005020F9">
        <w:t xml:space="preserve">, lo que </w:t>
      </w:r>
      <w:r w:rsidR="00B433E1">
        <w:t>evidencia una agenda en construcción</w:t>
      </w:r>
      <w:r w:rsidR="005020F9">
        <w:t xml:space="preserve"> en</w:t>
      </w:r>
      <w:r w:rsidR="00B433E1">
        <w:t xml:space="preserve"> donde el potencial </w:t>
      </w:r>
      <w:r w:rsidR="005020F9">
        <w:t>de transformación</w:t>
      </w:r>
      <w:r w:rsidR="00B433E1">
        <w:t xml:space="preserve"> de esta tecnología depende, más que de sus capacidades técnicas, de la articulación entre gobernanza, infraestructura digital y voluntad política. Así, los hallazgos presentados </w:t>
      </w:r>
      <w:r w:rsidR="005020F9">
        <w:t>permite</w:t>
      </w:r>
      <w:r w:rsidR="001B4E19">
        <w:t>n</w:t>
      </w:r>
      <w:r w:rsidR="005020F9">
        <w:t xml:space="preserve"> la fundamentación</w:t>
      </w:r>
      <w:r w:rsidR="00B433E1">
        <w:t xml:space="preserve"> para discusiones futuras que integren enfoques académicos, prácticos y normativos en el diseño de políticas públicas innovadoras y transparentes.</w:t>
      </w:r>
    </w:p>
    <w:p w14:paraId="650980E6" w14:textId="38A2D537" w:rsidR="001B4E19" w:rsidRDefault="001B4E19" w:rsidP="005F1E08">
      <w:pPr>
        <w:spacing w:line="276" w:lineRule="auto"/>
        <w:jc w:val="both"/>
      </w:pPr>
    </w:p>
    <w:p w14:paraId="59DA7AC4" w14:textId="77777777" w:rsidR="001B4E19" w:rsidRDefault="001B4E19" w:rsidP="005F1E08">
      <w:pPr>
        <w:spacing w:line="276" w:lineRule="auto"/>
        <w:jc w:val="both"/>
      </w:pPr>
    </w:p>
    <w:p w14:paraId="060AD566" w14:textId="77777777" w:rsidR="009135BB" w:rsidRDefault="009135BB" w:rsidP="009135BB">
      <w:pPr>
        <w:pStyle w:val="Ttulo1"/>
        <w:numPr>
          <w:ilvl w:val="0"/>
          <w:numId w:val="2"/>
        </w:numPr>
        <w:tabs>
          <w:tab w:val="left" w:pos="639"/>
        </w:tabs>
        <w:ind w:hanging="502"/>
      </w:pPr>
      <w:r>
        <w:rPr>
          <w:spacing w:val="-2"/>
        </w:rPr>
        <w:t>Conclusiones</w:t>
      </w:r>
    </w:p>
    <w:p w14:paraId="12F75732" w14:textId="13F6BDE9" w:rsidR="005C5CCE" w:rsidRPr="005C5CCE" w:rsidRDefault="005C5CCE" w:rsidP="005C5CCE">
      <w:pPr>
        <w:pStyle w:val="Prrafodelista"/>
        <w:numPr>
          <w:ilvl w:val="0"/>
          <w:numId w:val="12"/>
        </w:numPr>
        <w:spacing w:before="240" w:line="276" w:lineRule="auto"/>
      </w:pPr>
      <w:r w:rsidRPr="005C5CCE">
        <w:t>E</w:t>
      </w:r>
      <w:r w:rsidR="00182241">
        <w:t>n e</w:t>
      </w:r>
      <w:r w:rsidRPr="005C5CCE">
        <w:t xml:space="preserve">l análisis bibliométrico </w:t>
      </w:r>
      <w:r w:rsidR="00182241">
        <w:t xml:space="preserve">se </w:t>
      </w:r>
      <w:r w:rsidRPr="005C5CCE">
        <w:t xml:space="preserve">evidenció un crecimiento progresivo de publicaciones científicas entre 2020 y 2024, especialmente en áreas como ciencias sociales, administración pública y ciencias de la computación. </w:t>
      </w:r>
      <w:r w:rsidR="00C95AE6">
        <w:t xml:space="preserve">Además, </w:t>
      </w:r>
      <w:r w:rsidRPr="005C5CCE">
        <w:t>se observ</w:t>
      </w:r>
      <w:r w:rsidR="00C95AE6">
        <w:t>ó</w:t>
      </w:r>
      <w:r w:rsidRPr="005C5CCE">
        <w:t xml:space="preserve"> una dispersión en la autoría</w:t>
      </w:r>
      <w:r w:rsidR="00C95AE6">
        <w:t xml:space="preserve"> que </w:t>
      </w:r>
      <w:r w:rsidRPr="005C5CCE">
        <w:t xml:space="preserve">refleja la naturaleza emergente de la temática y el interés por explorar casos puntuales de aplicación. </w:t>
      </w:r>
      <w:r w:rsidR="00C95AE6">
        <w:t>Por otra parte, se encontró en l</w:t>
      </w:r>
      <w:r w:rsidRPr="005C5CCE">
        <w:t>as coocurrencias de términos</w:t>
      </w:r>
      <w:r w:rsidR="00C95AE6">
        <w:t xml:space="preserve"> predomina</w:t>
      </w:r>
      <w:r w:rsidRPr="005C5CCE">
        <w:t xml:space="preserve"> un enfoque en temas como </w:t>
      </w:r>
      <w:r w:rsidR="00C95AE6">
        <w:t xml:space="preserve">la </w:t>
      </w:r>
      <w:r w:rsidRPr="005C5CCE">
        <w:t xml:space="preserve">gobernanza, </w:t>
      </w:r>
      <w:r w:rsidR="00C95AE6">
        <w:t xml:space="preserve">la </w:t>
      </w:r>
      <w:r w:rsidRPr="005C5CCE">
        <w:t xml:space="preserve">transparencia, </w:t>
      </w:r>
      <w:r w:rsidR="00C95AE6">
        <w:t xml:space="preserve">la </w:t>
      </w:r>
      <w:r w:rsidRPr="005C5CCE">
        <w:t xml:space="preserve">eficiencia y </w:t>
      </w:r>
      <w:r w:rsidR="00C95AE6">
        <w:t xml:space="preserve">la </w:t>
      </w:r>
      <w:r w:rsidRPr="005C5CCE">
        <w:t xml:space="preserve">sostenibilidad. A través de </w:t>
      </w:r>
      <w:r w:rsidR="00C95AE6">
        <w:t>esto</w:t>
      </w:r>
      <w:r w:rsidRPr="005C5CCE">
        <w:t>, se logró un mapeo detallado y actualizado del conocimiento académico sobre el impacto de la blockchain en la gestión pública.</w:t>
      </w:r>
    </w:p>
    <w:p w14:paraId="35D8D662" w14:textId="371E6BD5" w:rsidR="005C5CCE" w:rsidRPr="005C5CCE" w:rsidRDefault="00C95AE6" w:rsidP="005C5CCE">
      <w:pPr>
        <w:pStyle w:val="Prrafodelista"/>
        <w:numPr>
          <w:ilvl w:val="0"/>
          <w:numId w:val="12"/>
        </w:numPr>
        <w:spacing w:before="240" w:line="276" w:lineRule="auto"/>
      </w:pPr>
      <w:r>
        <w:t>En este trabajo s</w:t>
      </w:r>
      <w:r w:rsidR="005C5CCE" w:rsidRPr="005C5CCE">
        <w:t xml:space="preserve">e logró clasificar y analizar 35 documentos, incluyendo artículos científicos, normativas, informes institucionales y prensa especializada. </w:t>
      </w:r>
      <w:r w:rsidR="006F314F">
        <w:t>Estos permitieron identificar</w:t>
      </w:r>
      <w:r w:rsidR="005C5CCE" w:rsidRPr="005C5CCE">
        <w:t xml:space="preserve"> las aplicaciones </w:t>
      </w:r>
      <w:r w:rsidR="006F314F">
        <w:t>que</w:t>
      </w:r>
      <w:r w:rsidR="005C5CCE" w:rsidRPr="005C5CCE">
        <w:t xml:space="preserve"> se agruparon en tres ejes: trazabilidad y transparencia, seguridad de la información pública, y automatización de procesos. </w:t>
      </w:r>
      <w:r w:rsidR="006F314F">
        <w:t>En concreto, s</w:t>
      </w:r>
      <w:r w:rsidR="005C5CCE" w:rsidRPr="005C5CCE">
        <w:t>e analiz</w:t>
      </w:r>
      <w:r w:rsidR="006F314F">
        <w:t>ó</w:t>
      </w:r>
      <w:r w:rsidR="005C5CCE" w:rsidRPr="005C5CCE">
        <w:t xml:space="preserve"> los </w:t>
      </w:r>
      <w:r w:rsidR="006F314F">
        <w:t xml:space="preserve">casos </w:t>
      </w:r>
      <w:r w:rsidR="005C5CCE" w:rsidRPr="005C5CCE">
        <w:t>de Estonia, Georgia, Colombia, Chile y Dubái, extrayendo factores clave para su éxito</w:t>
      </w:r>
      <w:r w:rsidR="006F314F">
        <w:t>, tales como la</w:t>
      </w:r>
      <w:r w:rsidR="005C5CCE" w:rsidRPr="005C5CCE">
        <w:t xml:space="preserve"> voluntad política, </w:t>
      </w:r>
      <w:r w:rsidR="006F314F">
        <w:t xml:space="preserve">el </w:t>
      </w:r>
      <w:r w:rsidR="005C5CCE" w:rsidRPr="005C5CCE">
        <w:t xml:space="preserve">marco legal adecuado, </w:t>
      </w:r>
      <w:r w:rsidR="006F314F">
        <w:t xml:space="preserve">la </w:t>
      </w:r>
      <w:r w:rsidR="005C5CCE" w:rsidRPr="005C5CCE">
        <w:t xml:space="preserve">interoperabilidad de sistemas y </w:t>
      </w:r>
      <w:r w:rsidR="006F314F">
        <w:t xml:space="preserve">la </w:t>
      </w:r>
      <w:r w:rsidR="005C5CCE" w:rsidRPr="005C5CCE">
        <w:t>aceptación ciudadana. También, se identific</w:t>
      </w:r>
      <w:r w:rsidR="006F314F">
        <w:t>ó</w:t>
      </w:r>
      <w:r w:rsidR="005C5CCE" w:rsidRPr="005C5CCE">
        <w:t xml:space="preserve"> limitaciones comunes como problemas de escalabilidad, resistencia institucional y falta de reconocimiento jurídico de los registros en blockchain. </w:t>
      </w:r>
    </w:p>
    <w:p w14:paraId="0D54AEED" w14:textId="427ED8D3" w:rsidR="009135BB" w:rsidRDefault="006F314F" w:rsidP="004145AE">
      <w:pPr>
        <w:pStyle w:val="Prrafodelista"/>
        <w:numPr>
          <w:ilvl w:val="0"/>
          <w:numId w:val="12"/>
        </w:numPr>
        <w:spacing w:before="240" w:line="276" w:lineRule="auto"/>
      </w:pPr>
      <w:r>
        <w:t>En general, l</w:t>
      </w:r>
      <w:r w:rsidR="005C5CCE" w:rsidRPr="005C5CCE">
        <w:t xml:space="preserve">os resultados sugieren que </w:t>
      </w:r>
      <w:r>
        <w:t xml:space="preserve">la </w:t>
      </w:r>
      <w:r w:rsidR="005C5CCE" w:rsidRPr="005C5CCE">
        <w:t>blockchain puede mejorar significativamente la eficiencia administrativa y la transparencia institucional, siempre</w:t>
      </w:r>
      <w:r>
        <w:t xml:space="preserve"> y cuando este acompañada </w:t>
      </w:r>
      <w:r w:rsidR="009676CA">
        <w:t xml:space="preserve">de </w:t>
      </w:r>
      <w:r>
        <w:t xml:space="preserve">la </w:t>
      </w:r>
      <w:r w:rsidR="005C5CCE" w:rsidRPr="005C5CCE">
        <w:t>adopción de reformas legales, adaptación tecnológica e inclusión ciudadana</w:t>
      </w:r>
      <w:r>
        <w:t xml:space="preserve">, ya que </w:t>
      </w:r>
      <w:r w:rsidR="009676CA">
        <w:t>esto</w:t>
      </w:r>
      <w:r>
        <w:t xml:space="preserve"> minimiza </w:t>
      </w:r>
      <w:r w:rsidR="005C5CCE" w:rsidRPr="005C5CCE">
        <w:t xml:space="preserve">los riesgos </w:t>
      </w:r>
      <w:r>
        <w:t xml:space="preserve">producidos por la </w:t>
      </w:r>
      <w:r w:rsidR="005C5CCE" w:rsidRPr="005C5CCE">
        <w:t xml:space="preserve">fragmentación, </w:t>
      </w:r>
      <w:r>
        <w:t xml:space="preserve">la </w:t>
      </w:r>
      <w:r w:rsidR="005C5CCE" w:rsidRPr="005C5CCE">
        <w:t>elitización tecnológica o</w:t>
      </w:r>
      <w:r>
        <w:t xml:space="preserve"> la </w:t>
      </w:r>
      <w:r w:rsidR="005C5CCE" w:rsidRPr="005C5CCE">
        <w:t>digitalización superficial.</w:t>
      </w:r>
    </w:p>
    <w:p w14:paraId="0E9384E0" w14:textId="77777777" w:rsidR="004145AE" w:rsidRDefault="004145AE" w:rsidP="004145AE">
      <w:pPr>
        <w:spacing w:before="240" w:line="276" w:lineRule="auto"/>
      </w:pPr>
    </w:p>
    <w:p w14:paraId="4C5D2B23" w14:textId="77777777" w:rsidR="004145AE" w:rsidRDefault="004145AE" w:rsidP="004145AE">
      <w:pPr>
        <w:pStyle w:val="Ttulo1"/>
        <w:ind w:left="137" w:firstLine="0"/>
      </w:pPr>
      <w:r>
        <w:rPr>
          <w:spacing w:val="-2"/>
        </w:rPr>
        <w:t>Referencias</w:t>
      </w:r>
    </w:p>
    <w:p w14:paraId="2D4CCC89" w14:textId="3A7E8257" w:rsidR="004145AE" w:rsidRPr="00281257" w:rsidRDefault="004145AE" w:rsidP="004145AE">
      <w:pPr>
        <w:pStyle w:val="Prrafodelista"/>
        <w:numPr>
          <w:ilvl w:val="0"/>
          <w:numId w:val="1"/>
        </w:numPr>
        <w:tabs>
          <w:tab w:val="left" w:pos="379"/>
          <w:tab w:val="left" w:pos="478"/>
        </w:tabs>
        <w:spacing w:before="237" w:line="276" w:lineRule="auto"/>
        <w:ind w:hanging="242"/>
        <w:rPr>
          <w:i/>
          <w:sz w:val="20"/>
          <w:szCs w:val="20"/>
        </w:rPr>
      </w:pPr>
      <w:r w:rsidRPr="00B433E1">
        <w:rPr>
          <w:sz w:val="20"/>
          <w:szCs w:val="20"/>
        </w:rPr>
        <w:tab/>
      </w:r>
      <w:r w:rsidR="006944B3" w:rsidRPr="00AF17D2">
        <w:rPr>
          <w:sz w:val="20"/>
          <w:szCs w:val="20"/>
        </w:rPr>
        <w:t xml:space="preserve">J. Espitia, C. Ferrari, J. González, I. Hernández, L. Reyes, A. Romero, C. Tassara, D. Varela, J. Villabona, and G. Zafra, “El gasto público en Colombia: Reflexiones y propuestas,” </w:t>
      </w:r>
      <w:r w:rsidR="006944B3" w:rsidRPr="00AF17D2">
        <w:rPr>
          <w:rStyle w:val="nfasis"/>
          <w:sz w:val="20"/>
          <w:szCs w:val="20"/>
        </w:rPr>
        <w:t>Revista de Economía Institucional</w:t>
      </w:r>
      <w:r w:rsidR="006944B3" w:rsidRPr="00AF17D2">
        <w:rPr>
          <w:sz w:val="20"/>
          <w:szCs w:val="20"/>
        </w:rPr>
        <w:t xml:space="preserve">, vol. 21, no. 40, pp. 291–326, 2019. [Online]. Available: </w:t>
      </w:r>
      <w:hyperlink r:id="rId28" w:tgtFrame="_new" w:history="1">
        <w:r w:rsidR="006944B3" w:rsidRPr="00AF17D2">
          <w:rPr>
            <w:rStyle w:val="Hipervnculo"/>
            <w:color w:val="00B0F0"/>
            <w:sz w:val="20"/>
            <w:szCs w:val="20"/>
            <w:u w:val="none"/>
          </w:rPr>
          <w:t>https://doi.org/10.18601/01245996.v21n40.11</w:t>
        </w:r>
      </w:hyperlink>
      <w:r w:rsidRPr="00281257">
        <w:rPr>
          <w:rFonts w:eastAsia="Times New Roman" w:cs="Times New Roman"/>
          <w:color w:val="00B0F0"/>
          <w:sz w:val="20"/>
          <w:szCs w:val="20"/>
          <w:lang w:val="en-GB" w:eastAsia="en-GB"/>
        </w:rPr>
        <w:t xml:space="preserve"> </w:t>
      </w:r>
      <w:r w:rsidRPr="00281257">
        <w:rPr>
          <w:sz w:val="20"/>
          <w:szCs w:val="20"/>
        </w:rPr>
        <w:t>↑</w:t>
      </w:r>
    </w:p>
    <w:p w14:paraId="764F700B" w14:textId="4A3F6EB8" w:rsidR="004145AE" w:rsidRPr="006944B3" w:rsidRDefault="004145AE" w:rsidP="004145AE">
      <w:pPr>
        <w:pStyle w:val="Prrafodelista"/>
        <w:numPr>
          <w:ilvl w:val="0"/>
          <w:numId w:val="1"/>
        </w:numPr>
        <w:tabs>
          <w:tab w:val="left" w:pos="379"/>
          <w:tab w:val="left" w:pos="478"/>
        </w:tabs>
        <w:spacing w:before="142" w:line="276" w:lineRule="auto"/>
        <w:ind w:hanging="242"/>
        <w:rPr>
          <w:i/>
          <w:color w:val="00B0F0"/>
          <w:sz w:val="20"/>
          <w:szCs w:val="20"/>
          <w:lang w:val="en-GB"/>
        </w:rPr>
      </w:pPr>
      <w:r w:rsidRPr="009135BB">
        <w:rPr>
          <w:sz w:val="20"/>
          <w:szCs w:val="20"/>
        </w:rPr>
        <w:tab/>
      </w:r>
      <w:r w:rsidR="006944B3" w:rsidRPr="00AF17D2">
        <w:rPr>
          <w:sz w:val="20"/>
          <w:szCs w:val="20"/>
        </w:rPr>
        <w:t xml:space="preserve">Concejo Privado de Competitividad, “Informe nacional de competitividad 2022–2023.” </w:t>
      </w:r>
      <w:r w:rsidR="006944B3" w:rsidRPr="006944B3">
        <w:rPr>
          <w:sz w:val="20"/>
          <w:szCs w:val="20"/>
          <w:lang w:val="en-GB"/>
        </w:rPr>
        <w:t xml:space="preserve">[Online]. Available: </w:t>
      </w:r>
      <w:hyperlink r:id="rId29" w:tgtFrame="_new" w:history="1">
        <w:r w:rsidR="006944B3" w:rsidRPr="006944B3">
          <w:rPr>
            <w:rStyle w:val="Hipervnculo"/>
            <w:color w:val="00B0F0"/>
            <w:sz w:val="20"/>
            <w:szCs w:val="20"/>
            <w:u w:val="none"/>
            <w:lang w:val="en-GB"/>
          </w:rPr>
          <w:t>https://compite.com.co/wp-content/uploads/2022/11/CPC_INC_2022_Eficiencia-de-estado.pdf</w:t>
        </w:r>
      </w:hyperlink>
      <w:r w:rsidRPr="006944B3">
        <w:rPr>
          <w:color w:val="00B0F0"/>
          <w:sz w:val="20"/>
          <w:szCs w:val="20"/>
          <w:lang w:val="en-GB"/>
        </w:rPr>
        <w:t xml:space="preserve"> </w:t>
      </w:r>
      <w:r w:rsidRPr="006944B3">
        <w:rPr>
          <w:sz w:val="20"/>
          <w:szCs w:val="20"/>
          <w:lang w:val="en-GB"/>
        </w:rPr>
        <w:t>↑</w:t>
      </w:r>
    </w:p>
    <w:p w14:paraId="608A52C0" w14:textId="41672F62" w:rsidR="004145AE" w:rsidRPr="00281257" w:rsidRDefault="004145AE" w:rsidP="004145AE">
      <w:pPr>
        <w:pStyle w:val="Prrafodelista"/>
        <w:numPr>
          <w:ilvl w:val="0"/>
          <w:numId w:val="1"/>
        </w:numPr>
        <w:tabs>
          <w:tab w:val="left" w:pos="379"/>
          <w:tab w:val="left" w:pos="478"/>
        </w:tabs>
        <w:spacing w:line="276" w:lineRule="auto"/>
        <w:ind w:hanging="242"/>
        <w:rPr>
          <w:sz w:val="20"/>
          <w:szCs w:val="20"/>
          <w:lang w:val="en-GB"/>
        </w:rPr>
      </w:pPr>
      <w:bookmarkStart w:id="5" w:name="_bookmark5"/>
      <w:bookmarkEnd w:id="5"/>
      <w:r w:rsidRPr="009135BB">
        <w:rPr>
          <w:sz w:val="20"/>
          <w:szCs w:val="20"/>
          <w:lang w:val="en-GB"/>
        </w:rPr>
        <w:tab/>
      </w:r>
      <w:r w:rsidR="006944B3" w:rsidRPr="00AF17D2">
        <w:rPr>
          <w:sz w:val="20"/>
          <w:szCs w:val="20"/>
        </w:rPr>
        <w:t xml:space="preserve">Banco Interamericano de Desarrollo, “Mejor gasto para mejores vidas: Cómo América Latina y el Caribe pueden hacer más con menos,” 2018. </w:t>
      </w:r>
      <w:r w:rsidR="006944B3" w:rsidRPr="006944B3">
        <w:rPr>
          <w:sz w:val="20"/>
          <w:szCs w:val="20"/>
          <w:lang w:val="en-GB"/>
        </w:rPr>
        <w:t xml:space="preserve">[Online]. Available: </w:t>
      </w:r>
      <w:hyperlink r:id="rId30" w:tgtFrame="_new" w:history="1">
        <w:r w:rsidR="006944B3" w:rsidRPr="006944B3">
          <w:rPr>
            <w:rStyle w:val="Hipervnculo"/>
            <w:color w:val="00B0F0"/>
            <w:sz w:val="20"/>
            <w:szCs w:val="20"/>
            <w:u w:val="none"/>
            <w:lang w:val="en-GB"/>
          </w:rPr>
          <w:t>https://img.lalr.co/cms/2018/09/21211810/DIA-2018-Mejor-gasto-para-mejores-vidas-PRENSA.pdf</w:t>
        </w:r>
      </w:hyperlink>
      <w:r w:rsidRPr="006944B3">
        <w:rPr>
          <w:color w:val="00B0F0"/>
          <w:sz w:val="20"/>
          <w:szCs w:val="20"/>
          <w:lang w:val="en-GB"/>
        </w:rPr>
        <w:t xml:space="preserve"> </w:t>
      </w:r>
      <w:r w:rsidRPr="006944B3">
        <w:rPr>
          <w:sz w:val="20"/>
          <w:szCs w:val="20"/>
          <w:lang w:val="en-GB"/>
        </w:rPr>
        <w:t>↑</w:t>
      </w:r>
    </w:p>
    <w:p w14:paraId="35957A39" w14:textId="31274679" w:rsidR="004145AE" w:rsidRPr="00281257" w:rsidRDefault="004145AE" w:rsidP="004145AE">
      <w:pPr>
        <w:pStyle w:val="Prrafodelista"/>
        <w:numPr>
          <w:ilvl w:val="0"/>
          <w:numId w:val="1"/>
        </w:numPr>
        <w:tabs>
          <w:tab w:val="left" w:pos="379"/>
          <w:tab w:val="left" w:pos="478"/>
        </w:tabs>
        <w:spacing w:before="107" w:line="276" w:lineRule="auto"/>
        <w:ind w:hanging="242"/>
        <w:rPr>
          <w:i/>
          <w:sz w:val="20"/>
          <w:szCs w:val="20"/>
        </w:rPr>
      </w:pPr>
      <w:r w:rsidRPr="00281257">
        <w:rPr>
          <w:sz w:val="20"/>
          <w:szCs w:val="20"/>
          <w:lang w:val="en-GB"/>
        </w:rPr>
        <w:tab/>
      </w:r>
      <w:r w:rsidR="006944B3" w:rsidRPr="00AF17D2">
        <w:rPr>
          <w:sz w:val="20"/>
          <w:szCs w:val="20"/>
        </w:rPr>
        <w:t xml:space="preserve">M. Oliveros, “La vulneración del principio de transparencia en los procesos de selección de la </w:t>
      </w:r>
      <w:r w:rsidR="006944B3" w:rsidRPr="00AF17D2">
        <w:rPr>
          <w:sz w:val="20"/>
          <w:szCs w:val="20"/>
        </w:rPr>
        <w:lastRenderedPageBreak/>
        <w:t xml:space="preserve">contratación estatal,” Universidad Católica de Colombia, Artículo de investigación, 2021. [Online]. Available: </w:t>
      </w:r>
      <w:hyperlink r:id="rId31" w:tgtFrame="_new" w:history="1">
        <w:r w:rsidR="006944B3" w:rsidRPr="00AF17D2">
          <w:rPr>
            <w:rStyle w:val="Hipervnculo"/>
            <w:color w:val="00B0F0"/>
            <w:sz w:val="20"/>
            <w:szCs w:val="20"/>
            <w:u w:val="none"/>
          </w:rPr>
          <w:t>https://hdl.handle.net/10983/26698</w:t>
        </w:r>
      </w:hyperlink>
      <w:r w:rsidRPr="00281257">
        <w:rPr>
          <w:color w:val="00B0F0"/>
          <w:sz w:val="20"/>
          <w:szCs w:val="20"/>
        </w:rPr>
        <w:t xml:space="preserve"> </w:t>
      </w:r>
      <w:r w:rsidRPr="00281257">
        <w:rPr>
          <w:sz w:val="20"/>
          <w:szCs w:val="20"/>
        </w:rPr>
        <w:t>↑</w:t>
      </w:r>
    </w:p>
    <w:p w14:paraId="427EBAD1" w14:textId="4ACB8B69" w:rsidR="004145AE" w:rsidRPr="006944B3" w:rsidRDefault="004145AE" w:rsidP="004145AE">
      <w:pPr>
        <w:pStyle w:val="Prrafodelista"/>
        <w:numPr>
          <w:ilvl w:val="0"/>
          <w:numId w:val="1"/>
        </w:numPr>
        <w:tabs>
          <w:tab w:val="left" w:pos="379"/>
          <w:tab w:val="left" w:pos="478"/>
        </w:tabs>
        <w:spacing w:before="107" w:line="276" w:lineRule="auto"/>
        <w:ind w:hanging="242"/>
        <w:rPr>
          <w:i/>
          <w:sz w:val="20"/>
          <w:szCs w:val="20"/>
          <w:lang w:val="en-GB"/>
        </w:rPr>
      </w:pPr>
      <w:r w:rsidRPr="006944B3">
        <w:rPr>
          <w:sz w:val="20"/>
          <w:szCs w:val="20"/>
        </w:rPr>
        <w:tab/>
      </w:r>
      <w:r w:rsidR="006944B3" w:rsidRPr="00AF17D2">
        <w:rPr>
          <w:sz w:val="20"/>
          <w:szCs w:val="20"/>
        </w:rPr>
        <w:t xml:space="preserve">J. Sánchez, “El fenómeno de la corrupción desde la mirada del derecho administrativo,” Universidad Externado de Colombia, Aug. 18, 2022. </w:t>
      </w:r>
      <w:r w:rsidR="006944B3" w:rsidRPr="006944B3">
        <w:rPr>
          <w:sz w:val="20"/>
          <w:szCs w:val="20"/>
          <w:lang w:val="en-GB"/>
        </w:rPr>
        <w:t xml:space="preserve">[Online]. Available: </w:t>
      </w:r>
      <w:hyperlink r:id="rId32" w:tgtFrame="_new" w:history="1">
        <w:r w:rsidR="006944B3" w:rsidRPr="006944B3">
          <w:rPr>
            <w:rStyle w:val="Hipervnculo"/>
            <w:color w:val="00B0F0"/>
            <w:sz w:val="20"/>
            <w:szCs w:val="20"/>
            <w:u w:val="none"/>
            <w:lang w:val="en-GB"/>
          </w:rPr>
          <w:t>https://www.uexternado.edu.co/derecho/el-fenomeno-de-la-corrupcion-desde-la-mirada-del-derecho-administrativo/</w:t>
        </w:r>
      </w:hyperlink>
      <w:r w:rsidRPr="006944B3">
        <w:rPr>
          <w:color w:val="00B0F0"/>
          <w:sz w:val="20"/>
          <w:szCs w:val="20"/>
          <w:lang w:val="en-GB"/>
        </w:rPr>
        <w:t xml:space="preserve"> </w:t>
      </w:r>
      <w:r w:rsidRPr="006944B3">
        <w:rPr>
          <w:sz w:val="20"/>
          <w:szCs w:val="20"/>
          <w:lang w:val="en-GB"/>
        </w:rPr>
        <w:t>↑</w:t>
      </w:r>
    </w:p>
    <w:p w14:paraId="12D1C32A" w14:textId="5CE6E63B" w:rsidR="004145AE" w:rsidRPr="006944B3" w:rsidRDefault="004145AE" w:rsidP="004145AE">
      <w:pPr>
        <w:pStyle w:val="Prrafodelista"/>
        <w:numPr>
          <w:ilvl w:val="0"/>
          <w:numId w:val="1"/>
        </w:numPr>
        <w:tabs>
          <w:tab w:val="left" w:pos="379"/>
          <w:tab w:val="left" w:pos="478"/>
        </w:tabs>
        <w:spacing w:line="276" w:lineRule="auto"/>
        <w:ind w:hanging="242"/>
        <w:rPr>
          <w:i/>
          <w:sz w:val="20"/>
          <w:szCs w:val="20"/>
          <w:lang w:val="en-GB"/>
        </w:rPr>
      </w:pPr>
      <w:r w:rsidRPr="006944B3">
        <w:rPr>
          <w:sz w:val="20"/>
          <w:szCs w:val="20"/>
          <w:lang w:val="en-GB"/>
        </w:rPr>
        <w:tab/>
      </w:r>
      <w:r w:rsidR="006944B3" w:rsidRPr="00AF17D2">
        <w:rPr>
          <w:sz w:val="20"/>
          <w:szCs w:val="20"/>
        </w:rPr>
        <w:t xml:space="preserve">M. Valverde, “Transparencia, acceso a la información y rendición de cuentas: Elementos conceptuales y el caso de México,” en </w:t>
      </w:r>
      <w:r w:rsidR="006944B3" w:rsidRPr="00AF17D2">
        <w:rPr>
          <w:rStyle w:val="nfasis"/>
          <w:sz w:val="20"/>
          <w:szCs w:val="20"/>
        </w:rPr>
        <w:t>Cátedra UNESCO de Derechos Humanos de la UNAM</w:t>
      </w:r>
      <w:r w:rsidR="006944B3" w:rsidRPr="00AF17D2">
        <w:rPr>
          <w:sz w:val="20"/>
          <w:szCs w:val="20"/>
        </w:rPr>
        <w:t xml:space="preserve">, UNAM, pp. 235–250. </w:t>
      </w:r>
      <w:r w:rsidR="006944B3" w:rsidRPr="006944B3">
        <w:rPr>
          <w:sz w:val="20"/>
          <w:szCs w:val="20"/>
          <w:lang w:val="en-GB"/>
        </w:rPr>
        <w:t xml:space="preserve">[Online]. Available: </w:t>
      </w:r>
      <w:hyperlink r:id="rId33" w:tgtFrame="_new" w:history="1">
        <w:r w:rsidR="006944B3" w:rsidRPr="006944B3">
          <w:rPr>
            <w:rStyle w:val="Hipervnculo"/>
            <w:color w:val="00B0F0"/>
            <w:sz w:val="20"/>
            <w:szCs w:val="20"/>
            <w:u w:val="none"/>
            <w:lang w:val="en-GB"/>
          </w:rPr>
          <w:t>https://catedraunescodh.unam.mx/catedra/CONACYT/04_Docentes_UdeO_ubicar_el_de_alumnos/Contenidos/Lecturas%20obligatorias/M.5_cont_1_Valverde_Loya.pdf</w:t>
        </w:r>
      </w:hyperlink>
      <w:r w:rsidR="006944B3" w:rsidRPr="006944B3">
        <w:rPr>
          <w:color w:val="00B0F0"/>
          <w:sz w:val="20"/>
          <w:szCs w:val="20"/>
          <w:lang w:val="en-GB"/>
        </w:rPr>
        <w:t xml:space="preserve"> </w:t>
      </w:r>
      <w:r w:rsidR="006944B3" w:rsidRPr="006944B3">
        <w:rPr>
          <w:sz w:val="20"/>
          <w:szCs w:val="20"/>
          <w:lang w:val="en-GB"/>
        </w:rPr>
        <w:t>↑</w:t>
      </w:r>
    </w:p>
    <w:p w14:paraId="1438D091" w14:textId="1CBFF68D" w:rsidR="004145AE" w:rsidRPr="00281257" w:rsidRDefault="004145AE" w:rsidP="004145AE">
      <w:pPr>
        <w:pStyle w:val="Prrafodelista"/>
        <w:numPr>
          <w:ilvl w:val="0"/>
          <w:numId w:val="1"/>
        </w:numPr>
        <w:tabs>
          <w:tab w:val="left" w:pos="379"/>
          <w:tab w:val="left" w:pos="478"/>
        </w:tabs>
        <w:spacing w:line="276" w:lineRule="auto"/>
        <w:ind w:hanging="242"/>
        <w:rPr>
          <w:i/>
          <w:sz w:val="20"/>
          <w:szCs w:val="20"/>
        </w:rPr>
      </w:pPr>
      <w:r w:rsidRPr="00281257">
        <w:rPr>
          <w:sz w:val="20"/>
          <w:szCs w:val="20"/>
          <w:lang w:val="en-GB"/>
        </w:rPr>
        <w:tab/>
      </w:r>
      <w:r w:rsidR="006944B3" w:rsidRPr="006944B3">
        <w:rPr>
          <w:sz w:val="20"/>
          <w:szCs w:val="20"/>
          <w:lang w:val="en-GB"/>
        </w:rPr>
        <w:t xml:space="preserve">M. Sintejudeanu, T. Farcas, and A. Tiron, “Public sector transparency: A conceptual dissection,” </w:t>
      </w:r>
      <w:r w:rsidR="006944B3" w:rsidRPr="006944B3">
        <w:rPr>
          <w:rStyle w:val="nfasis"/>
          <w:sz w:val="20"/>
          <w:szCs w:val="20"/>
          <w:lang w:val="en-GB"/>
        </w:rPr>
        <w:t>SEA - Practical Application of Science</w:t>
      </w:r>
      <w:r w:rsidR="006944B3" w:rsidRPr="006944B3">
        <w:rPr>
          <w:sz w:val="20"/>
          <w:szCs w:val="20"/>
          <w:lang w:val="en-GB"/>
        </w:rPr>
        <w:t xml:space="preserve">, vol. 4, no. 2, pp. 365–372, 2014. </w:t>
      </w:r>
      <w:r w:rsidR="006944B3" w:rsidRPr="00AF17D2">
        <w:rPr>
          <w:sz w:val="20"/>
          <w:szCs w:val="20"/>
        </w:rPr>
        <w:t xml:space="preserve">[Online]. Available: </w:t>
      </w:r>
      <w:hyperlink r:id="rId34" w:tgtFrame="_new" w:history="1">
        <w:r w:rsidR="006944B3" w:rsidRPr="00AF17D2">
          <w:rPr>
            <w:rStyle w:val="Hipervnculo"/>
            <w:color w:val="00B0F0"/>
            <w:sz w:val="20"/>
            <w:szCs w:val="20"/>
            <w:u w:val="none"/>
          </w:rPr>
          <w:t>https://seaopenresearch.eu/Journals/articles/SPAS_4_41.pdf</w:t>
        </w:r>
      </w:hyperlink>
      <w:r w:rsidRPr="00281257">
        <w:rPr>
          <w:color w:val="00B0F0"/>
          <w:sz w:val="20"/>
          <w:szCs w:val="20"/>
        </w:rPr>
        <w:t xml:space="preserve"> </w:t>
      </w:r>
      <w:r w:rsidRPr="00281257">
        <w:rPr>
          <w:sz w:val="20"/>
          <w:szCs w:val="20"/>
        </w:rPr>
        <w:t>↑</w:t>
      </w:r>
    </w:p>
    <w:p w14:paraId="62A607E4" w14:textId="20C89AE0" w:rsidR="004145AE" w:rsidRPr="008141C1" w:rsidRDefault="004145AE" w:rsidP="004145AE">
      <w:pPr>
        <w:pStyle w:val="Prrafodelista"/>
        <w:numPr>
          <w:ilvl w:val="0"/>
          <w:numId w:val="1"/>
        </w:numPr>
        <w:tabs>
          <w:tab w:val="left" w:pos="379"/>
          <w:tab w:val="left" w:pos="478"/>
        </w:tabs>
        <w:spacing w:before="107" w:line="276" w:lineRule="auto"/>
        <w:ind w:hanging="242"/>
        <w:rPr>
          <w:i/>
          <w:sz w:val="20"/>
          <w:szCs w:val="20"/>
          <w:lang w:val="en-GB"/>
        </w:rPr>
      </w:pPr>
      <w:r w:rsidRPr="006944B3">
        <w:rPr>
          <w:sz w:val="20"/>
          <w:szCs w:val="20"/>
        </w:rPr>
        <w:tab/>
      </w:r>
      <w:r w:rsidR="006944B3" w:rsidRPr="00AF17D2">
        <w:rPr>
          <w:sz w:val="20"/>
          <w:szCs w:val="20"/>
        </w:rPr>
        <w:t xml:space="preserve">C. Muñoz, “ABC de la Ley de Transparencia y Derecho de Acceso a la Información Pública,” Secretaría de Transparencia, 2015. </w:t>
      </w:r>
      <w:r w:rsidR="006944B3" w:rsidRPr="006944B3">
        <w:rPr>
          <w:sz w:val="20"/>
          <w:szCs w:val="20"/>
          <w:lang w:val="en-GB"/>
        </w:rPr>
        <w:t>[Online]. Available:</w:t>
      </w:r>
      <w:r w:rsidR="006944B3" w:rsidRPr="006944B3">
        <w:rPr>
          <w:color w:val="00B0F0"/>
          <w:sz w:val="20"/>
          <w:szCs w:val="20"/>
          <w:lang w:val="en-GB"/>
        </w:rPr>
        <w:t xml:space="preserve"> </w:t>
      </w:r>
      <w:hyperlink r:id="rId35" w:tgtFrame="_new" w:history="1">
        <w:r w:rsidR="006944B3" w:rsidRPr="006944B3">
          <w:rPr>
            <w:rStyle w:val="Hipervnculo"/>
            <w:color w:val="00B0F0"/>
            <w:sz w:val="20"/>
            <w:szCs w:val="20"/>
            <w:u w:val="none"/>
            <w:lang w:val="en-GB"/>
          </w:rPr>
          <w:t>https://www.minjusticia.gov.co/programas-co/tejiendo-justicia/Documents/publicaciones/transparencia/ABC.pdf</w:t>
        </w:r>
      </w:hyperlink>
      <w:r w:rsidRPr="009135BB">
        <w:rPr>
          <w:color w:val="00B0F0"/>
          <w:sz w:val="20"/>
          <w:szCs w:val="20"/>
          <w:lang w:val="en-GB"/>
        </w:rPr>
        <w:t xml:space="preserve"> </w:t>
      </w:r>
      <w:r w:rsidRPr="009135BB">
        <w:rPr>
          <w:sz w:val="20"/>
          <w:szCs w:val="20"/>
          <w:lang w:val="en-GB"/>
        </w:rPr>
        <w:t>↑</w:t>
      </w:r>
    </w:p>
    <w:p w14:paraId="16899F08" w14:textId="45A5927A" w:rsidR="004145AE" w:rsidRPr="006944B3" w:rsidRDefault="004145AE" w:rsidP="004145AE">
      <w:pPr>
        <w:pStyle w:val="Prrafodelista"/>
        <w:numPr>
          <w:ilvl w:val="0"/>
          <w:numId w:val="1"/>
        </w:numPr>
        <w:tabs>
          <w:tab w:val="left" w:pos="379"/>
          <w:tab w:val="left" w:pos="478"/>
        </w:tabs>
        <w:spacing w:before="107" w:line="276" w:lineRule="auto"/>
        <w:ind w:right="108" w:hanging="242"/>
        <w:rPr>
          <w:i/>
          <w:sz w:val="20"/>
          <w:szCs w:val="20"/>
          <w:lang w:val="en-GB"/>
        </w:rPr>
      </w:pPr>
      <w:r w:rsidRPr="008141C1">
        <w:rPr>
          <w:sz w:val="20"/>
          <w:szCs w:val="20"/>
          <w:lang w:val="en-GB"/>
        </w:rPr>
        <w:tab/>
      </w:r>
      <w:bookmarkStart w:id="6" w:name="_Hlk203056453"/>
      <w:r w:rsidR="006944B3" w:rsidRPr="00AF17D2">
        <w:rPr>
          <w:sz w:val="20"/>
          <w:szCs w:val="20"/>
        </w:rPr>
        <w:t xml:space="preserve">L. Medina, “Gobierno abierto,” </w:t>
      </w:r>
      <w:r w:rsidR="006944B3" w:rsidRPr="00AF17D2">
        <w:rPr>
          <w:rStyle w:val="nfasis"/>
          <w:sz w:val="20"/>
          <w:szCs w:val="20"/>
        </w:rPr>
        <w:t>Datos Abiertos Colombia</w:t>
      </w:r>
      <w:r w:rsidR="006944B3" w:rsidRPr="00AF17D2">
        <w:rPr>
          <w:sz w:val="20"/>
          <w:szCs w:val="20"/>
        </w:rPr>
        <w:t xml:space="preserve">, Nov. 22, 2023. </w:t>
      </w:r>
      <w:r w:rsidR="006944B3" w:rsidRPr="006944B3">
        <w:rPr>
          <w:sz w:val="20"/>
          <w:szCs w:val="20"/>
          <w:lang w:val="en-GB"/>
        </w:rPr>
        <w:t xml:space="preserve">[Online]. Available: </w:t>
      </w:r>
      <w:hyperlink r:id="rId36" w:tgtFrame="_new" w:history="1">
        <w:r w:rsidR="006944B3" w:rsidRPr="006944B3">
          <w:rPr>
            <w:rStyle w:val="Hipervnculo"/>
            <w:color w:val="00B0F0"/>
            <w:sz w:val="20"/>
            <w:szCs w:val="20"/>
            <w:u w:val="none"/>
            <w:lang w:val="en-GB"/>
          </w:rPr>
          <w:t>https://herramientas.datos.gov.co/sites/default/files/2023-11/20231122%20-%20Gobierno%20Abierto.pdf</w:t>
        </w:r>
      </w:hyperlink>
      <w:r w:rsidRPr="006944B3">
        <w:rPr>
          <w:color w:val="00B0F0"/>
          <w:sz w:val="20"/>
          <w:szCs w:val="20"/>
          <w:lang w:val="en-GB"/>
        </w:rPr>
        <w:t xml:space="preserve"> </w:t>
      </w:r>
      <w:r w:rsidRPr="006944B3">
        <w:rPr>
          <w:sz w:val="20"/>
          <w:szCs w:val="20"/>
          <w:lang w:val="en-GB"/>
        </w:rPr>
        <w:t>↑</w:t>
      </w:r>
      <w:bookmarkEnd w:id="6"/>
    </w:p>
    <w:p w14:paraId="38A6AA48" w14:textId="19A260B2" w:rsidR="004145AE" w:rsidRPr="004438B7" w:rsidRDefault="00C445E7"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7" w:name="_Hlk203042236"/>
      <w:r w:rsidRPr="00C445E7">
        <w:rPr>
          <w:sz w:val="20"/>
          <w:szCs w:val="20"/>
          <w:lang w:val="en-GB"/>
        </w:rPr>
        <w:t xml:space="preserve">M. Janssen, R. Matheus, J. Longo, and V. Weerakkody, “Transparency-by-design as a foundation for open government,” </w:t>
      </w:r>
      <w:r w:rsidRPr="00C445E7">
        <w:rPr>
          <w:rStyle w:val="nfasis"/>
          <w:sz w:val="20"/>
          <w:szCs w:val="20"/>
          <w:lang w:val="en-GB"/>
        </w:rPr>
        <w:t>Transforming Government: People, Process and Policy</w:t>
      </w:r>
      <w:r w:rsidRPr="00C445E7">
        <w:rPr>
          <w:sz w:val="20"/>
          <w:szCs w:val="20"/>
          <w:lang w:val="en-GB"/>
        </w:rPr>
        <w:t xml:space="preserve">, vol. 11, no. 1, pp. 2–8, 2017. </w:t>
      </w:r>
      <w:r w:rsidRPr="00AF17D2">
        <w:rPr>
          <w:sz w:val="20"/>
          <w:szCs w:val="20"/>
        </w:rPr>
        <w:t xml:space="preserve">[Online]. Available: </w:t>
      </w:r>
      <w:hyperlink r:id="rId37" w:tgtFrame="_new" w:history="1">
        <w:r w:rsidRPr="00AF17D2">
          <w:rPr>
            <w:rStyle w:val="Hipervnculo"/>
            <w:color w:val="00B0F0"/>
            <w:sz w:val="20"/>
            <w:szCs w:val="20"/>
            <w:u w:val="none"/>
          </w:rPr>
          <w:t>https://doi.org/10.1108/TG-02-2017-0015</w:t>
        </w:r>
      </w:hyperlink>
      <w:r w:rsidR="004145AE" w:rsidRPr="008141C1">
        <w:rPr>
          <w:color w:val="00B0F0"/>
          <w:sz w:val="20"/>
          <w:szCs w:val="20"/>
          <w:lang w:val="en-GB"/>
        </w:rPr>
        <w:t xml:space="preserve"> </w:t>
      </w:r>
      <w:r w:rsidR="004145AE" w:rsidRPr="008141C1">
        <w:rPr>
          <w:sz w:val="20"/>
          <w:szCs w:val="20"/>
        </w:rPr>
        <w:t>↑</w:t>
      </w:r>
    </w:p>
    <w:p w14:paraId="6CDF64B8" w14:textId="2981F0A5" w:rsidR="004145AE" w:rsidRPr="004438B7" w:rsidRDefault="00C445E7"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8" w:name="_Hlk203042360"/>
      <w:bookmarkEnd w:id="7"/>
      <w:r w:rsidRPr="00C445E7">
        <w:rPr>
          <w:sz w:val="20"/>
          <w:szCs w:val="20"/>
          <w:lang w:val="en-GB"/>
        </w:rPr>
        <w:t xml:space="preserve">D. Mihau, A. Opreana, and M. Cristescu, “Efficiency, effectiveness and performance of the public sector,” </w:t>
      </w:r>
      <w:r w:rsidRPr="00C445E7">
        <w:rPr>
          <w:rStyle w:val="nfasis"/>
          <w:sz w:val="20"/>
          <w:szCs w:val="20"/>
          <w:lang w:val="en-GB"/>
        </w:rPr>
        <w:t>Romanian Journal of Economic Forecasting</w:t>
      </w:r>
      <w:r w:rsidRPr="00C445E7">
        <w:rPr>
          <w:sz w:val="20"/>
          <w:szCs w:val="20"/>
          <w:lang w:val="en-GB"/>
        </w:rPr>
        <w:t xml:space="preserve">, vol. 4, no. 1, pp. 132–147, 2010. </w:t>
      </w:r>
      <w:r w:rsidRPr="00AF17D2">
        <w:rPr>
          <w:sz w:val="20"/>
          <w:szCs w:val="20"/>
        </w:rPr>
        <w:t xml:space="preserve">[Online]. Available: </w:t>
      </w:r>
      <w:hyperlink r:id="rId38" w:tgtFrame="_new" w:history="1">
        <w:r w:rsidRPr="00AF17D2">
          <w:rPr>
            <w:rStyle w:val="Hipervnculo"/>
            <w:color w:val="00B0F0"/>
            <w:sz w:val="20"/>
            <w:szCs w:val="20"/>
            <w:u w:val="none"/>
          </w:rPr>
          <w:t>https://ipe.ro/rjef/rjef4_10/rjef4_10_10.pdf</w:t>
        </w:r>
      </w:hyperlink>
      <w:r w:rsidR="004145AE" w:rsidRPr="008141C1">
        <w:rPr>
          <w:sz w:val="20"/>
          <w:szCs w:val="20"/>
        </w:rPr>
        <w:t>↑</w:t>
      </w:r>
    </w:p>
    <w:bookmarkEnd w:id="8"/>
    <w:p w14:paraId="5127DB82" w14:textId="10B236FE" w:rsidR="004145AE" w:rsidRPr="008141C1" w:rsidRDefault="00C445E7" w:rsidP="004145AE">
      <w:pPr>
        <w:pStyle w:val="Prrafodelista"/>
        <w:numPr>
          <w:ilvl w:val="0"/>
          <w:numId w:val="1"/>
        </w:numPr>
        <w:tabs>
          <w:tab w:val="left" w:pos="379"/>
          <w:tab w:val="left" w:pos="577"/>
        </w:tabs>
        <w:spacing w:before="107" w:line="276" w:lineRule="auto"/>
        <w:ind w:hanging="242"/>
        <w:rPr>
          <w:rFonts w:ascii="Arial" w:hAnsi="Arial"/>
          <w:i/>
          <w:sz w:val="20"/>
          <w:szCs w:val="20"/>
        </w:rPr>
      </w:pPr>
      <w:r w:rsidRPr="00AF17D2">
        <w:rPr>
          <w:sz w:val="20"/>
          <w:szCs w:val="20"/>
        </w:rPr>
        <w:t xml:space="preserve">N. Rueda, “La eficiencia y su importancia en el sector público,” </w:t>
      </w:r>
      <w:r w:rsidRPr="00AF17D2">
        <w:rPr>
          <w:rStyle w:val="nfasis"/>
          <w:sz w:val="20"/>
          <w:szCs w:val="20"/>
        </w:rPr>
        <w:t>eXtoicos</w:t>
      </w:r>
      <w:r w:rsidRPr="00AF17D2">
        <w:rPr>
          <w:sz w:val="20"/>
          <w:szCs w:val="20"/>
        </w:rPr>
        <w:t xml:space="preserve">, vol. 1, pp. 38–47, 2011. [Online]. Available: </w:t>
      </w:r>
      <w:hyperlink r:id="rId39" w:tgtFrame="_new" w:history="1">
        <w:r w:rsidRPr="00AF17D2">
          <w:rPr>
            <w:rStyle w:val="Hipervnculo"/>
            <w:color w:val="00B0F0"/>
            <w:sz w:val="20"/>
            <w:szCs w:val="20"/>
            <w:u w:val="none"/>
          </w:rPr>
          <w:t>https://dialnet.unirioja.es/servlet/articulo?codigo=4017945</w:t>
        </w:r>
      </w:hyperlink>
      <w:r w:rsidR="004145AE" w:rsidRPr="008141C1">
        <w:rPr>
          <w:color w:val="00B0F0"/>
          <w:sz w:val="20"/>
          <w:szCs w:val="20"/>
        </w:rPr>
        <w:t xml:space="preserve"> </w:t>
      </w:r>
      <w:r w:rsidR="004145AE" w:rsidRPr="008141C1">
        <w:rPr>
          <w:sz w:val="20"/>
          <w:szCs w:val="20"/>
        </w:rPr>
        <w:t>↑</w:t>
      </w:r>
    </w:p>
    <w:p w14:paraId="011CDD07" w14:textId="772D95AE" w:rsidR="004145AE" w:rsidRPr="00C445E7" w:rsidRDefault="00C445E7"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9" w:name="_Hlk203042458"/>
      <w:r w:rsidRPr="00C445E7">
        <w:rPr>
          <w:sz w:val="20"/>
          <w:szCs w:val="20"/>
          <w:lang w:val="en-GB"/>
        </w:rPr>
        <w:t xml:space="preserve">A. Alfonso, L. Schuknecht, and V. Tanzi, “Public sector efficiency: An international comparison,” European Central Bank, Working Paper No. 242, 2003. [Online]. Available: </w:t>
      </w:r>
      <w:hyperlink r:id="rId40" w:tgtFrame="_new" w:history="1">
        <w:r w:rsidRPr="00C445E7">
          <w:rPr>
            <w:rStyle w:val="Hipervnculo"/>
            <w:color w:val="00B0F0"/>
            <w:sz w:val="20"/>
            <w:szCs w:val="20"/>
            <w:u w:val="none"/>
            <w:lang w:val="en-GB"/>
          </w:rPr>
          <w:t>https://www.ecb.europa.eu/pub/pdf/scpwps/ecbwp242.pdf</w:t>
        </w:r>
      </w:hyperlink>
      <w:r w:rsidR="004145AE" w:rsidRPr="00C445E7">
        <w:rPr>
          <w:color w:val="00B0F0"/>
          <w:sz w:val="20"/>
          <w:szCs w:val="20"/>
          <w:lang w:val="en-GB"/>
        </w:rPr>
        <w:t xml:space="preserve"> </w:t>
      </w:r>
      <w:r w:rsidR="004145AE" w:rsidRPr="00C445E7">
        <w:rPr>
          <w:sz w:val="20"/>
          <w:szCs w:val="20"/>
          <w:lang w:val="en-GB"/>
        </w:rPr>
        <w:t>↑</w:t>
      </w:r>
    </w:p>
    <w:p w14:paraId="4B57FE01" w14:textId="4FC0F183" w:rsidR="004145AE" w:rsidRPr="008141C1" w:rsidRDefault="00C445E7"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10" w:name="_Hlk203042593"/>
      <w:bookmarkEnd w:id="9"/>
      <w:r w:rsidRPr="00C445E7">
        <w:rPr>
          <w:sz w:val="20"/>
          <w:szCs w:val="20"/>
          <w:lang w:val="en-GB"/>
        </w:rPr>
        <w:t xml:space="preserve">A. Apeti, B. Bamble, and A. Bernard, “Determinants of public sector efficiency: A panel database from a stochastic frontier analysis,” </w:t>
      </w:r>
      <w:r w:rsidRPr="00C445E7">
        <w:rPr>
          <w:rStyle w:val="nfasis"/>
          <w:sz w:val="20"/>
          <w:szCs w:val="20"/>
          <w:lang w:val="en-GB"/>
        </w:rPr>
        <w:t>Oxford Economic Papers</w:t>
      </w:r>
      <w:r w:rsidRPr="00C445E7">
        <w:rPr>
          <w:sz w:val="20"/>
          <w:szCs w:val="20"/>
          <w:lang w:val="en-GB"/>
        </w:rPr>
        <w:t xml:space="preserve">, vol. 76, no. 3, pp. 741–758, 2024. </w:t>
      </w:r>
      <w:r w:rsidRPr="00AF17D2">
        <w:rPr>
          <w:sz w:val="20"/>
          <w:szCs w:val="20"/>
        </w:rPr>
        <w:t xml:space="preserve">[Online]. Available: </w:t>
      </w:r>
      <w:hyperlink r:id="rId41" w:tgtFrame="_new" w:history="1">
        <w:r w:rsidRPr="00AF17D2">
          <w:rPr>
            <w:rStyle w:val="Hipervnculo"/>
            <w:color w:val="00B0F0"/>
            <w:sz w:val="20"/>
            <w:szCs w:val="20"/>
            <w:u w:val="none"/>
          </w:rPr>
          <w:t>https://doi.org/10.1093/oep/gpad036</w:t>
        </w:r>
      </w:hyperlink>
      <w:r w:rsidR="004145AE" w:rsidRPr="008141C1">
        <w:rPr>
          <w:sz w:val="20"/>
          <w:szCs w:val="20"/>
          <w:lang w:val="en-GB"/>
        </w:rPr>
        <w:t xml:space="preserve"> ↑ </w:t>
      </w:r>
    </w:p>
    <w:p w14:paraId="09B84981" w14:textId="2807E94B" w:rsidR="004145AE" w:rsidRPr="00F22DD4" w:rsidRDefault="00C445E7"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11" w:name="_Hlk203042673"/>
      <w:bookmarkEnd w:id="10"/>
      <w:r w:rsidRPr="00AF17D2">
        <w:rPr>
          <w:sz w:val="20"/>
          <w:szCs w:val="20"/>
        </w:rPr>
        <w:t xml:space="preserve">IBM, “¿Qué es el blockchain?” </w:t>
      </w:r>
      <w:r w:rsidRPr="00C445E7">
        <w:rPr>
          <w:sz w:val="20"/>
          <w:szCs w:val="20"/>
          <w:lang w:val="en-GB"/>
        </w:rPr>
        <w:t xml:space="preserve">[Online]. Available: </w:t>
      </w:r>
      <w:hyperlink r:id="rId42" w:tgtFrame="_new" w:history="1">
        <w:r w:rsidRPr="00C445E7">
          <w:rPr>
            <w:rStyle w:val="Hipervnculo"/>
            <w:color w:val="00B0F0"/>
            <w:sz w:val="20"/>
            <w:szCs w:val="20"/>
            <w:u w:val="none"/>
            <w:lang w:val="en-GB"/>
          </w:rPr>
          <w:t>https://www.ibm.com/es-es/topics/blockchain</w:t>
        </w:r>
      </w:hyperlink>
      <w:r w:rsidR="004145AE" w:rsidRPr="008141C1">
        <w:rPr>
          <w:sz w:val="20"/>
          <w:szCs w:val="20"/>
          <w:lang w:val="en-GB"/>
        </w:rPr>
        <w:t xml:space="preserve"> </w:t>
      </w:r>
      <w:hyperlink r:id="rId43" w:history="1">
        <w:r w:rsidR="004145AE" w:rsidRPr="008141C1">
          <w:rPr>
            <w:rStyle w:val="Hipervnculo"/>
            <w:color w:val="00B0F0"/>
            <w:sz w:val="20"/>
            <w:szCs w:val="20"/>
            <w:u w:val="none"/>
            <w:lang w:val="en-GB"/>
          </w:rPr>
          <w:t xml:space="preserve"> </w:t>
        </w:r>
        <w:r w:rsidR="004145AE" w:rsidRPr="008141C1">
          <w:rPr>
            <w:rStyle w:val="Hipervnculo"/>
            <w:color w:val="auto"/>
            <w:sz w:val="20"/>
            <w:szCs w:val="20"/>
            <w:u w:val="none"/>
            <w:lang w:val="en-GB"/>
          </w:rPr>
          <w:t>↑</w:t>
        </w:r>
      </w:hyperlink>
    </w:p>
    <w:bookmarkEnd w:id="11"/>
    <w:p w14:paraId="7DE89055" w14:textId="2F8456A7" w:rsidR="004145AE" w:rsidRPr="00F22DD4" w:rsidRDefault="00F70CEF"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sz w:val="20"/>
          <w:szCs w:val="20"/>
        </w:rPr>
        <w:t xml:space="preserve">IBM, “Beneficios de blockchain.” [Online]. Available: </w:t>
      </w:r>
      <w:hyperlink r:id="rId44" w:tgtFrame="_new" w:history="1">
        <w:r w:rsidRPr="000E3EB7">
          <w:rPr>
            <w:rStyle w:val="Hipervnculo"/>
            <w:color w:val="00B0F0"/>
            <w:sz w:val="20"/>
            <w:szCs w:val="20"/>
            <w:u w:val="none"/>
          </w:rPr>
          <w:t>https://www.ibm.com/es-es/topics/benefits-of-blockchain</w:t>
        </w:r>
      </w:hyperlink>
      <w:r>
        <w:rPr>
          <w:color w:val="00B0F0"/>
          <w:sz w:val="20"/>
          <w:szCs w:val="20"/>
        </w:rPr>
        <w:t xml:space="preserve"> </w:t>
      </w:r>
      <w:r w:rsidR="00F22DD4" w:rsidRPr="00F22DD4">
        <w:rPr>
          <w:sz w:val="20"/>
          <w:szCs w:val="20"/>
          <w:lang w:val="en-GB"/>
        </w:rPr>
        <w:t>↑</w:t>
      </w:r>
    </w:p>
    <w:p w14:paraId="5DF60F1A" w14:textId="5860C332" w:rsidR="004145AE" w:rsidRPr="008141C1" w:rsidRDefault="00F70CEF"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12" w:name="_Hlk203042860"/>
      <w:r w:rsidRPr="00F70CEF">
        <w:rPr>
          <w:sz w:val="20"/>
          <w:szCs w:val="20"/>
          <w:lang w:val="en-GB"/>
        </w:rPr>
        <w:t xml:space="preserve">G. Tripathi, M. Ahad, and G. Casalino, “A comprehensive review of blockchain technology: Underlying principles and historical background with future challenges,” </w:t>
      </w:r>
      <w:r w:rsidRPr="00F70CEF">
        <w:rPr>
          <w:rStyle w:val="nfasis"/>
          <w:sz w:val="20"/>
          <w:szCs w:val="20"/>
          <w:lang w:val="en-GB"/>
        </w:rPr>
        <w:t>Decision Analytics Journal</w:t>
      </w:r>
      <w:r w:rsidRPr="00F70CEF">
        <w:rPr>
          <w:sz w:val="20"/>
          <w:szCs w:val="20"/>
          <w:lang w:val="en-GB"/>
        </w:rPr>
        <w:t xml:space="preserve">, vol. 9, 100344, 2023. </w:t>
      </w:r>
      <w:r w:rsidRPr="00AF17D2">
        <w:rPr>
          <w:sz w:val="20"/>
          <w:szCs w:val="20"/>
        </w:rPr>
        <w:t xml:space="preserve">[Online]. Available: </w:t>
      </w:r>
      <w:hyperlink r:id="rId45" w:tgtFrame="_new" w:history="1">
        <w:r w:rsidRPr="000E3EB7">
          <w:rPr>
            <w:rStyle w:val="Hipervnculo"/>
            <w:color w:val="00B0F0"/>
            <w:sz w:val="20"/>
            <w:szCs w:val="20"/>
            <w:u w:val="none"/>
          </w:rPr>
          <w:t>https://doi.org/10.1016/j.dajour.2023.100344</w:t>
        </w:r>
      </w:hyperlink>
      <w:r w:rsidR="004145AE">
        <w:rPr>
          <w:rFonts w:ascii="Times New Roman" w:eastAsia="Times New Roman" w:hAnsi="Times New Roman" w:cs="Times New Roman"/>
          <w:sz w:val="20"/>
          <w:szCs w:val="20"/>
          <w:lang w:val="en-GB" w:eastAsia="en-GB"/>
        </w:rPr>
        <w:t xml:space="preserve"> </w:t>
      </w:r>
      <w:r w:rsidR="008141C1" w:rsidRPr="008141C1">
        <w:rPr>
          <w:rFonts w:ascii="Times New Roman" w:eastAsia="Times New Roman" w:hAnsi="Times New Roman" w:cs="Times New Roman"/>
          <w:sz w:val="20"/>
          <w:szCs w:val="20"/>
          <w:lang w:val="en-GB" w:eastAsia="en-GB"/>
        </w:rPr>
        <w:t>↑</w:t>
      </w:r>
    </w:p>
    <w:p w14:paraId="43AE4CF5" w14:textId="6DD80A7F" w:rsidR="004145AE" w:rsidRPr="008141C1" w:rsidRDefault="00F70CEF"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13" w:name="_Hlk203043206"/>
      <w:bookmarkEnd w:id="12"/>
      <w:r w:rsidRPr="00F70CEF">
        <w:rPr>
          <w:sz w:val="20"/>
          <w:szCs w:val="20"/>
          <w:lang w:val="en-GB"/>
        </w:rPr>
        <w:t xml:space="preserve">Berryhill, T. Bourgery, and A. Hanson, “Blockchains unchained: Blockchain technology and its use </w:t>
      </w:r>
      <w:r w:rsidRPr="00F70CEF">
        <w:rPr>
          <w:sz w:val="20"/>
          <w:szCs w:val="20"/>
          <w:lang w:val="en-GB"/>
        </w:rPr>
        <w:lastRenderedPageBreak/>
        <w:t xml:space="preserve">in the public sector,” OECD Publishing, 2018. </w:t>
      </w:r>
      <w:r w:rsidRPr="00AF17D2">
        <w:rPr>
          <w:sz w:val="20"/>
          <w:szCs w:val="20"/>
        </w:rPr>
        <w:t xml:space="preserve">[Online]. Available: </w:t>
      </w:r>
      <w:hyperlink r:id="rId46" w:tgtFrame="_new" w:history="1">
        <w:r w:rsidRPr="000E3EB7">
          <w:rPr>
            <w:rStyle w:val="Hipervnculo"/>
            <w:color w:val="00B0F0"/>
            <w:sz w:val="20"/>
            <w:szCs w:val="20"/>
            <w:u w:val="none"/>
          </w:rPr>
          <w:t>https://doi.org/10.1787/3c32c429-en</w:t>
        </w:r>
      </w:hyperlink>
      <w:r w:rsidR="004145AE">
        <w:rPr>
          <w:rFonts w:ascii="Times New Roman" w:eastAsia="Times New Roman" w:hAnsi="Times New Roman" w:cs="Times New Roman"/>
          <w:sz w:val="20"/>
          <w:szCs w:val="20"/>
          <w:lang w:val="en-GB" w:eastAsia="en-GB"/>
        </w:rPr>
        <w:t xml:space="preserve"> </w:t>
      </w:r>
      <w:r w:rsidR="008141C1" w:rsidRPr="008141C1">
        <w:rPr>
          <w:rFonts w:ascii="Times New Roman" w:eastAsia="Times New Roman" w:hAnsi="Times New Roman" w:cs="Times New Roman"/>
          <w:sz w:val="20"/>
          <w:szCs w:val="20"/>
          <w:lang w:val="en-GB" w:eastAsia="en-GB"/>
        </w:rPr>
        <w:t>↑</w:t>
      </w:r>
    </w:p>
    <w:bookmarkEnd w:id="13"/>
    <w:p w14:paraId="3E03361B" w14:textId="77777777" w:rsidR="00133EE9" w:rsidRPr="00133EE9" w:rsidRDefault="00F70CEF"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sz w:val="20"/>
          <w:szCs w:val="20"/>
        </w:rPr>
        <w:t xml:space="preserve">D. Jiménez, “Procuraduría en Colombia formalmente empieza a aplicar tecnología Blockchain contra la corrupción,” </w:t>
      </w:r>
      <w:r w:rsidRPr="00AF17D2">
        <w:rPr>
          <w:rStyle w:val="nfasis"/>
          <w:sz w:val="20"/>
          <w:szCs w:val="20"/>
        </w:rPr>
        <w:t>Cointelegraph en Español</w:t>
      </w:r>
      <w:r w:rsidRPr="00AF17D2">
        <w:rPr>
          <w:sz w:val="20"/>
          <w:szCs w:val="20"/>
        </w:rPr>
        <w:t xml:space="preserve">, Jul. 7, 2020. </w:t>
      </w:r>
      <w:r w:rsidRPr="00F70CEF">
        <w:rPr>
          <w:sz w:val="20"/>
          <w:szCs w:val="20"/>
          <w:lang w:val="en-GB"/>
        </w:rPr>
        <w:t xml:space="preserve">[Online]. Available: </w:t>
      </w:r>
      <w:hyperlink r:id="rId47" w:tgtFrame="_new" w:history="1">
        <w:r w:rsidRPr="00F70CEF">
          <w:rPr>
            <w:rStyle w:val="Hipervnculo"/>
            <w:color w:val="00B0F0"/>
            <w:sz w:val="20"/>
            <w:szCs w:val="20"/>
            <w:u w:val="none"/>
            <w:lang w:val="en-GB"/>
          </w:rPr>
          <w:t>https://es.cointelegraph.com/news/procaduria-in-colombia-formally-begins-to-apply-blockchain-technology-against-corruption</w:t>
        </w:r>
      </w:hyperlink>
      <w:r w:rsidRPr="00F70CEF">
        <w:rPr>
          <w:color w:val="00B0F0"/>
          <w:sz w:val="20"/>
          <w:szCs w:val="20"/>
          <w:lang w:val="en-GB"/>
        </w:rPr>
        <w:t xml:space="preserve"> </w:t>
      </w:r>
      <w:r w:rsidR="008141C1" w:rsidRPr="008141C1">
        <w:rPr>
          <w:rFonts w:ascii="Times New Roman" w:eastAsia="Times New Roman" w:hAnsi="Times New Roman" w:cs="Times New Roman"/>
          <w:sz w:val="20"/>
          <w:szCs w:val="20"/>
          <w:lang w:val="en-GB" w:eastAsia="en-GB"/>
        </w:rPr>
        <w:t>↑</w:t>
      </w:r>
      <w:bookmarkStart w:id="14" w:name="_Hlk203043532"/>
    </w:p>
    <w:p w14:paraId="73532F2C" w14:textId="77777777" w:rsidR="00133EE9" w:rsidRPr="00133EE9" w:rsidRDefault="00F70CEF"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133EE9">
        <w:rPr>
          <w:sz w:val="20"/>
          <w:szCs w:val="20"/>
          <w:lang w:val="en-GB"/>
        </w:rPr>
        <w:t xml:space="preserve">M. Sihvart, “Blockchain – Security control for government registers,” </w:t>
      </w:r>
      <w:r w:rsidRPr="00133EE9">
        <w:rPr>
          <w:rStyle w:val="nfasis"/>
          <w:sz w:val="20"/>
          <w:szCs w:val="20"/>
          <w:lang w:val="en-GB"/>
        </w:rPr>
        <w:t>e-Estonia</w:t>
      </w:r>
      <w:r w:rsidRPr="00133EE9">
        <w:rPr>
          <w:sz w:val="20"/>
          <w:szCs w:val="20"/>
          <w:lang w:val="en-GB"/>
        </w:rPr>
        <w:t xml:space="preserve">, Aug. 10, 2017. </w:t>
      </w:r>
      <w:r w:rsidRPr="00B433E1">
        <w:rPr>
          <w:sz w:val="20"/>
          <w:szCs w:val="20"/>
          <w:lang w:val="en-GB"/>
        </w:rPr>
        <w:t xml:space="preserve">[Online]. </w:t>
      </w:r>
      <w:r w:rsidRPr="00133EE9">
        <w:rPr>
          <w:sz w:val="20"/>
          <w:szCs w:val="20"/>
          <w:lang w:val="en-GB"/>
        </w:rPr>
        <w:t xml:space="preserve">Available: </w:t>
      </w:r>
      <w:hyperlink r:id="rId48" w:tgtFrame="_new" w:history="1">
        <w:r w:rsidRPr="00133EE9">
          <w:rPr>
            <w:rStyle w:val="Hipervnculo"/>
            <w:color w:val="00B0F0"/>
            <w:sz w:val="20"/>
            <w:szCs w:val="20"/>
            <w:u w:val="none"/>
            <w:lang w:val="en-GB"/>
          </w:rPr>
          <w:t>https://e-estonia.com/blockchain-security-control-for-government-registers/</w:t>
        </w:r>
      </w:hyperlink>
      <w:r w:rsidR="004145AE" w:rsidRPr="00133EE9">
        <w:rPr>
          <w:rFonts w:ascii="Times New Roman" w:eastAsia="Times New Roman" w:hAnsi="Times New Roman" w:cs="Times New Roman"/>
          <w:sz w:val="20"/>
          <w:szCs w:val="20"/>
          <w:lang w:val="en-GB" w:eastAsia="en-GB"/>
        </w:rPr>
        <w:t xml:space="preserve"> </w:t>
      </w:r>
      <w:r w:rsidR="008141C1" w:rsidRPr="00133EE9">
        <w:rPr>
          <w:rFonts w:ascii="Times New Roman" w:eastAsia="Times New Roman" w:hAnsi="Times New Roman" w:cs="Times New Roman"/>
          <w:sz w:val="20"/>
          <w:szCs w:val="20"/>
          <w:lang w:val="en-GB" w:eastAsia="en-GB"/>
        </w:rPr>
        <w:t>↑</w:t>
      </w:r>
      <w:bookmarkEnd w:id="14"/>
      <w:r w:rsidRPr="00133EE9">
        <w:rPr>
          <w:sz w:val="20"/>
          <w:szCs w:val="20"/>
          <w:lang w:val="en-GB"/>
        </w:rPr>
        <w:t xml:space="preserve"> </w:t>
      </w:r>
    </w:p>
    <w:p w14:paraId="684AD6F3" w14:textId="77777777" w:rsidR="00133EE9" w:rsidRPr="00133EE9" w:rsidRDefault="00F70CEF"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133EE9">
        <w:rPr>
          <w:sz w:val="20"/>
          <w:szCs w:val="20"/>
          <w:lang w:val="en-GB"/>
        </w:rPr>
        <w:t xml:space="preserve">A. Shahaab, I. Khan, R. Maude, C. Hewage, and Y. Wang, “Public service operational efficiency and blockchain: A case study of Companies House, UK,” </w:t>
      </w:r>
      <w:r w:rsidRPr="00133EE9">
        <w:rPr>
          <w:rStyle w:val="nfasis"/>
          <w:sz w:val="20"/>
          <w:szCs w:val="20"/>
          <w:lang w:val="en-GB"/>
        </w:rPr>
        <w:t>Government Information Quarterly</w:t>
      </w:r>
      <w:r w:rsidRPr="00133EE9">
        <w:rPr>
          <w:sz w:val="20"/>
          <w:szCs w:val="20"/>
          <w:lang w:val="en-GB"/>
        </w:rPr>
        <w:t xml:space="preserve">, vol. 40, no. 1, 101759, 2023. </w:t>
      </w:r>
      <w:r w:rsidRPr="00133EE9">
        <w:rPr>
          <w:sz w:val="20"/>
          <w:szCs w:val="20"/>
        </w:rPr>
        <w:t xml:space="preserve">[Online]. Available: </w:t>
      </w:r>
      <w:hyperlink r:id="rId49" w:tgtFrame="_new" w:history="1">
        <w:r w:rsidRPr="00133EE9">
          <w:rPr>
            <w:rStyle w:val="Hipervnculo"/>
            <w:color w:val="00B0F0"/>
            <w:sz w:val="20"/>
            <w:szCs w:val="20"/>
            <w:u w:val="none"/>
          </w:rPr>
          <w:t>https://doi.org/10.1016/j.giq.2022.101759</w:t>
        </w:r>
      </w:hyperlink>
      <w:r w:rsidRPr="00133EE9">
        <w:rPr>
          <w:color w:val="00B0F0"/>
          <w:sz w:val="20"/>
          <w:szCs w:val="20"/>
        </w:rPr>
        <w:t xml:space="preserve"> </w:t>
      </w:r>
      <w:r w:rsidR="008141C1" w:rsidRPr="00133EE9">
        <w:rPr>
          <w:rFonts w:ascii="Times New Roman" w:eastAsia="Times New Roman" w:hAnsi="Times New Roman" w:cs="Times New Roman"/>
          <w:sz w:val="20"/>
          <w:szCs w:val="20"/>
          <w:lang w:val="en-GB" w:eastAsia="en-GB"/>
        </w:rPr>
        <w:t>↑</w:t>
      </w:r>
      <w:r w:rsidRPr="00133EE9">
        <w:rPr>
          <w:sz w:val="20"/>
          <w:szCs w:val="20"/>
        </w:rPr>
        <w:t xml:space="preserve"> </w:t>
      </w:r>
    </w:p>
    <w:p w14:paraId="76EAC5A4" w14:textId="77777777" w:rsidR="00133EE9" w:rsidRPr="00133EE9" w:rsidRDefault="00F70CEF"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133EE9">
        <w:rPr>
          <w:sz w:val="20"/>
          <w:szCs w:val="20"/>
          <w:lang w:val="en-GB"/>
        </w:rPr>
        <w:t xml:space="preserve">D. Cagigas, J. Clifton, D. Díaz, and M. Fernández, “Blockchain for public services: A systematic literature review,” </w:t>
      </w:r>
      <w:r w:rsidRPr="00133EE9">
        <w:rPr>
          <w:rStyle w:val="nfasis"/>
          <w:sz w:val="20"/>
          <w:szCs w:val="20"/>
          <w:lang w:val="en-GB"/>
        </w:rPr>
        <w:t>IEEE Access</w:t>
      </w:r>
      <w:r w:rsidRPr="00133EE9">
        <w:rPr>
          <w:sz w:val="20"/>
          <w:szCs w:val="20"/>
          <w:lang w:val="en-GB"/>
        </w:rPr>
        <w:t xml:space="preserve">, vol. 9, pp. 13904–13921, 2021. </w:t>
      </w:r>
      <w:r w:rsidRPr="00133EE9">
        <w:rPr>
          <w:sz w:val="20"/>
          <w:szCs w:val="20"/>
        </w:rPr>
        <w:t xml:space="preserve">[Online]. Available: </w:t>
      </w:r>
      <w:hyperlink r:id="rId50" w:tgtFrame="_new" w:history="1">
        <w:r w:rsidRPr="00133EE9">
          <w:rPr>
            <w:rStyle w:val="Hipervnculo"/>
            <w:color w:val="00B0F0"/>
            <w:sz w:val="20"/>
            <w:szCs w:val="20"/>
            <w:u w:val="none"/>
          </w:rPr>
          <w:t>https://doi.org/10.1109/ACCESS.2021.3052019</w:t>
        </w:r>
      </w:hyperlink>
      <w:r w:rsidRPr="00133EE9">
        <w:rPr>
          <w:color w:val="00B0F0"/>
          <w:sz w:val="20"/>
          <w:szCs w:val="20"/>
        </w:rPr>
        <w:t xml:space="preserve"> </w:t>
      </w:r>
      <w:r w:rsidR="008141C1" w:rsidRPr="00133EE9">
        <w:rPr>
          <w:rFonts w:ascii="Times New Roman" w:eastAsia="Times New Roman" w:hAnsi="Times New Roman" w:cs="Times New Roman"/>
          <w:sz w:val="20"/>
          <w:szCs w:val="20"/>
          <w:lang w:val="en-GB" w:eastAsia="en-GB"/>
        </w:rPr>
        <w:t>↑</w:t>
      </w:r>
      <w:bookmarkStart w:id="15" w:name="_Hlk203056622"/>
    </w:p>
    <w:p w14:paraId="715F4C95" w14:textId="77777777" w:rsidR="00133EE9" w:rsidRPr="00133EE9" w:rsidRDefault="00F70CEF"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133EE9">
        <w:rPr>
          <w:sz w:val="20"/>
          <w:szCs w:val="20"/>
          <w:lang w:val="en-GB"/>
        </w:rPr>
        <w:t xml:space="preserve">A. Polcumpally, K. Pandey, A. Kumar, and A. Samadhiya, “Blockchain governance and trust: A multi-sector thematic systematic review and exploration of future research directions,” </w:t>
      </w:r>
      <w:r w:rsidRPr="00133EE9">
        <w:rPr>
          <w:rStyle w:val="nfasis"/>
          <w:sz w:val="20"/>
          <w:szCs w:val="20"/>
          <w:lang w:val="en-GB"/>
        </w:rPr>
        <w:t>Heliyon</w:t>
      </w:r>
      <w:r w:rsidRPr="00133EE9">
        <w:rPr>
          <w:sz w:val="20"/>
          <w:szCs w:val="20"/>
          <w:lang w:val="en-GB"/>
        </w:rPr>
        <w:t xml:space="preserve">, vol. 10, no. 12, e32975, 2024. </w:t>
      </w:r>
      <w:r w:rsidRPr="00133EE9">
        <w:rPr>
          <w:sz w:val="20"/>
          <w:szCs w:val="20"/>
        </w:rPr>
        <w:t xml:space="preserve">[Online]. Available: </w:t>
      </w:r>
      <w:hyperlink r:id="rId51" w:tgtFrame="_new" w:history="1">
        <w:r w:rsidRPr="00133EE9">
          <w:rPr>
            <w:rStyle w:val="Hipervnculo"/>
            <w:color w:val="00B0F0"/>
            <w:sz w:val="20"/>
            <w:szCs w:val="20"/>
            <w:u w:val="none"/>
          </w:rPr>
          <w:t>https://doi.org/10.1016/j.heliyon.2024.e32975</w:t>
        </w:r>
      </w:hyperlink>
      <w:r w:rsidRPr="00133EE9">
        <w:rPr>
          <w:sz w:val="20"/>
          <w:szCs w:val="20"/>
        </w:rPr>
        <w:t xml:space="preserve"> </w:t>
      </w:r>
      <w:r w:rsidR="008141C1" w:rsidRPr="00133EE9">
        <w:rPr>
          <w:rFonts w:ascii="Times New Roman" w:eastAsia="Times New Roman" w:hAnsi="Times New Roman" w:cs="Times New Roman"/>
          <w:sz w:val="20"/>
          <w:szCs w:val="20"/>
          <w:lang w:val="en-GB" w:eastAsia="en-GB"/>
        </w:rPr>
        <w:t>↑</w:t>
      </w:r>
      <w:bookmarkStart w:id="16" w:name="_Hlk203056771"/>
      <w:bookmarkEnd w:id="15"/>
    </w:p>
    <w:p w14:paraId="066D695D" w14:textId="77777777" w:rsidR="00133EE9" w:rsidRPr="00133EE9" w:rsidRDefault="00F70CEF"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133EE9">
        <w:rPr>
          <w:sz w:val="20"/>
          <w:szCs w:val="20"/>
          <w:lang w:val="en-GB"/>
        </w:rPr>
        <w:t xml:space="preserve">E. Tan, S. Mahula, and J. Crompvoets, “Blockchain governance in the public sector: A conceptual framework for public management,” </w:t>
      </w:r>
      <w:r w:rsidRPr="00133EE9">
        <w:rPr>
          <w:rStyle w:val="nfasis"/>
          <w:sz w:val="20"/>
          <w:szCs w:val="20"/>
          <w:lang w:val="en-GB"/>
        </w:rPr>
        <w:t>Government Information Quarterly</w:t>
      </w:r>
      <w:r w:rsidRPr="00133EE9">
        <w:rPr>
          <w:sz w:val="20"/>
          <w:szCs w:val="20"/>
          <w:lang w:val="en-GB"/>
        </w:rPr>
        <w:t xml:space="preserve">, vol. 39, no. 1, 101625, 2022. </w:t>
      </w:r>
      <w:r w:rsidRPr="00133EE9">
        <w:rPr>
          <w:sz w:val="20"/>
          <w:szCs w:val="20"/>
        </w:rPr>
        <w:t xml:space="preserve">[Online]. Available: </w:t>
      </w:r>
      <w:hyperlink r:id="rId52" w:tgtFrame="_new" w:history="1">
        <w:r w:rsidRPr="00133EE9">
          <w:rPr>
            <w:rStyle w:val="Hipervnculo"/>
            <w:color w:val="00B0F0"/>
            <w:sz w:val="20"/>
            <w:szCs w:val="20"/>
            <w:u w:val="none"/>
          </w:rPr>
          <w:t>https://doi.org/10.1016/j.giq.2021.101625</w:t>
        </w:r>
      </w:hyperlink>
      <w:r w:rsidRPr="00133EE9">
        <w:rPr>
          <w:sz w:val="20"/>
          <w:szCs w:val="20"/>
        </w:rPr>
        <w:t xml:space="preserve"> </w:t>
      </w:r>
      <w:r w:rsidR="008141C1" w:rsidRPr="00133EE9">
        <w:rPr>
          <w:rFonts w:ascii="Times New Roman" w:eastAsia="Times New Roman" w:hAnsi="Times New Roman" w:cs="Times New Roman"/>
          <w:sz w:val="20"/>
          <w:szCs w:val="20"/>
          <w:lang w:eastAsia="en-GB"/>
        </w:rPr>
        <w:t>↑</w:t>
      </w:r>
      <w:bookmarkStart w:id="17" w:name="_Hlk203056921"/>
      <w:bookmarkEnd w:id="16"/>
      <w:r w:rsidRPr="00133EE9">
        <w:rPr>
          <w:sz w:val="20"/>
          <w:szCs w:val="20"/>
        </w:rPr>
        <w:t xml:space="preserve"> </w:t>
      </w:r>
    </w:p>
    <w:p w14:paraId="40919F48" w14:textId="77777777" w:rsidR="00133EE9" w:rsidRPr="00133EE9" w:rsidRDefault="00F70CEF"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133EE9">
        <w:rPr>
          <w:sz w:val="20"/>
          <w:szCs w:val="20"/>
          <w:lang w:val="en-GB"/>
        </w:rPr>
        <w:t xml:space="preserve">X. Li, H. Jiao, L. Cheng, H. Li, W. Mu, and R. Zhang, “A quantitative and qualitative review of blockchain research from 2015 to 2021,” </w:t>
      </w:r>
      <w:r w:rsidRPr="00133EE9">
        <w:rPr>
          <w:rStyle w:val="nfasis"/>
          <w:sz w:val="20"/>
          <w:szCs w:val="20"/>
          <w:lang w:val="en-GB"/>
        </w:rPr>
        <w:t>Sustainability</w:t>
      </w:r>
      <w:r w:rsidRPr="00133EE9">
        <w:rPr>
          <w:sz w:val="20"/>
          <w:szCs w:val="20"/>
          <w:lang w:val="en-GB"/>
        </w:rPr>
        <w:t xml:space="preserve">, vol. 15, no. 6, art. 5067, 2023. </w:t>
      </w:r>
      <w:hyperlink r:id="rId53" w:tgtFrame="_new" w:history="1">
        <w:r w:rsidRPr="00133EE9">
          <w:rPr>
            <w:rStyle w:val="Hipervnculo"/>
            <w:color w:val="00B0F0"/>
            <w:sz w:val="20"/>
            <w:szCs w:val="20"/>
            <w:u w:val="none"/>
            <w:lang w:val="en-GB"/>
          </w:rPr>
          <w:t>https://doi.org/10.3390/su15065067</w:t>
        </w:r>
      </w:hyperlink>
      <w:r w:rsidR="008141C1" w:rsidRPr="00133EE9">
        <w:rPr>
          <w:rFonts w:ascii="Times New Roman" w:eastAsia="Times New Roman" w:hAnsi="Times New Roman" w:cs="Times New Roman"/>
          <w:sz w:val="20"/>
          <w:szCs w:val="20"/>
          <w:lang w:eastAsia="en-GB"/>
        </w:rPr>
        <w:t>↑</w:t>
      </w:r>
      <w:bookmarkEnd w:id="17"/>
      <w:r w:rsidRPr="00133EE9">
        <w:rPr>
          <w:sz w:val="20"/>
          <w:szCs w:val="20"/>
        </w:rPr>
        <w:t xml:space="preserve"> </w:t>
      </w:r>
    </w:p>
    <w:p w14:paraId="35BA5DD4" w14:textId="4DF163E1" w:rsidR="00F70CEF" w:rsidRPr="00133EE9" w:rsidRDefault="00F70CEF"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133EE9">
        <w:rPr>
          <w:sz w:val="20"/>
          <w:szCs w:val="20"/>
          <w:lang w:val="en-GB"/>
        </w:rPr>
        <w:t xml:space="preserve">E. Alotaibi, H. Issa, and M. Codesso, “Blockchain-based conceptual model for enhanced transparency in government records: A design science research approach,” Int. J. Inf. </w:t>
      </w:r>
      <w:r w:rsidRPr="00133EE9">
        <w:rPr>
          <w:sz w:val="20"/>
          <w:szCs w:val="20"/>
        </w:rPr>
        <w:t>Manage. Data Insights, vol. 5, no. 1, art. 100304, 2025. doi:</w:t>
      </w:r>
      <w:r w:rsidRPr="00133EE9">
        <w:rPr>
          <w:color w:val="00B0F0"/>
          <w:sz w:val="20"/>
          <w:szCs w:val="20"/>
        </w:rPr>
        <w:t xml:space="preserve"> 10.1016/j.jjimei.2024.100304 </w:t>
      </w:r>
    </w:p>
    <w:p w14:paraId="10512FAE" w14:textId="6323A17D" w:rsidR="00F70CEF" w:rsidRPr="00F70CEF" w:rsidRDefault="00F70CEF" w:rsidP="00F70CEF">
      <w:pPr>
        <w:pStyle w:val="Prrafodelista"/>
        <w:numPr>
          <w:ilvl w:val="0"/>
          <w:numId w:val="1"/>
        </w:numPr>
        <w:tabs>
          <w:tab w:val="left" w:pos="709"/>
          <w:tab w:val="left" w:pos="851"/>
        </w:tabs>
        <w:spacing w:before="107" w:line="276" w:lineRule="auto"/>
        <w:ind w:hanging="242"/>
        <w:rPr>
          <w:rFonts w:ascii="Arial" w:hAnsi="Arial"/>
          <w:i/>
          <w:sz w:val="20"/>
          <w:szCs w:val="20"/>
          <w:lang w:val="en-GB"/>
        </w:rPr>
      </w:pPr>
      <w:bookmarkStart w:id="18" w:name="_Hlk203057097"/>
      <w:r w:rsidRPr="00AF17D2">
        <w:rPr>
          <w:sz w:val="20"/>
          <w:szCs w:val="20"/>
          <w:lang w:val="en-GB"/>
        </w:rPr>
        <w:t xml:space="preserve">M. Sousa, “Blockchain as a driver for transformations in the public sector,” </w:t>
      </w:r>
      <w:r w:rsidRPr="00AF17D2">
        <w:rPr>
          <w:rStyle w:val="nfasis"/>
          <w:sz w:val="20"/>
          <w:szCs w:val="20"/>
          <w:lang w:val="en-GB"/>
        </w:rPr>
        <w:t>J. Public Aff.</w:t>
      </w:r>
      <w:r w:rsidRPr="00AF17D2">
        <w:rPr>
          <w:sz w:val="20"/>
          <w:szCs w:val="20"/>
          <w:lang w:val="en-GB"/>
        </w:rPr>
        <w:t xml:space="preserve">, vol. 6, no. 4, pp. 415–432, 2023. </w:t>
      </w:r>
      <w:hyperlink r:id="rId54" w:tgtFrame="_new" w:history="1">
        <w:r w:rsidRPr="00F70CEF">
          <w:rPr>
            <w:rStyle w:val="Hipervnculo"/>
            <w:color w:val="00B0F0"/>
            <w:sz w:val="20"/>
            <w:szCs w:val="20"/>
            <w:u w:val="none"/>
            <w:lang w:val="en-GB"/>
          </w:rPr>
          <w:t>https://doi.org/10.1080/25741292.2023.2267864</w:t>
        </w:r>
      </w:hyperlink>
      <w:r w:rsidRPr="00F70CEF">
        <w:rPr>
          <w:color w:val="00B0F0"/>
          <w:sz w:val="20"/>
          <w:szCs w:val="20"/>
          <w:lang w:val="en-GB"/>
        </w:rPr>
        <w:t xml:space="preserve"> </w:t>
      </w:r>
      <w:r w:rsidRPr="00F70CEF">
        <w:rPr>
          <w:sz w:val="20"/>
          <w:szCs w:val="20"/>
          <w:lang w:val="en-GB"/>
        </w:rPr>
        <w:t>↑</w:t>
      </w:r>
    </w:p>
    <w:p w14:paraId="68F730AB" w14:textId="1889B858" w:rsidR="00F70CEF" w:rsidRPr="00F70CEF" w:rsidRDefault="00F70CEF" w:rsidP="00F70CEF">
      <w:pPr>
        <w:pStyle w:val="Prrafodelista"/>
        <w:numPr>
          <w:ilvl w:val="0"/>
          <w:numId w:val="1"/>
        </w:numPr>
        <w:tabs>
          <w:tab w:val="left" w:pos="709"/>
          <w:tab w:val="left" w:pos="851"/>
        </w:tabs>
        <w:spacing w:before="107" w:line="276" w:lineRule="auto"/>
        <w:ind w:hanging="242"/>
        <w:rPr>
          <w:rFonts w:ascii="Arial" w:hAnsi="Arial"/>
          <w:i/>
          <w:sz w:val="20"/>
          <w:szCs w:val="20"/>
          <w:lang w:val="en-GB"/>
        </w:rPr>
      </w:pPr>
      <w:r w:rsidRPr="00AF17D2">
        <w:rPr>
          <w:sz w:val="20"/>
          <w:szCs w:val="20"/>
          <w:lang w:val="en-GB"/>
        </w:rPr>
        <w:t xml:space="preserve">L. Moura, D. Brauner, and R. Janissek, “Blockchain and a technological perspective for public administration: A systematic review,” </w:t>
      </w:r>
      <w:r w:rsidRPr="00AF17D2">
        <w:rPr>
          <w:rStyle w:val="nfasis"/>
          <w:sz w:val="20"/>
          <w:szCs w:val="20"/>
          <w:lang w:val="en-GB"/>
        </w:rPr>
        <w:t>J. Contemp. Adm.</w:t>
      </w:r>
      <w:r w:rsidRPr="00AF17D2">
        <w:rPr>
          <w:sz w:val="20"/>
          <w:szCs w:val="20"/>
          <w:lang w:val="en-GB"/>
        </w:rPr>
        <w:t xml:space="preserve">, vol. 24, no. 3, pp. 259–274, 2020. </w:t>
      </w:r>
      <w:hyperlink r:id="rId55" w:tgtFrame="_new" w:history="1">
        <w:r w:rsidRPr="00AF17D2">
          <w:rPr>
            <w:rStyle w:val="Hipervnculo"/>
            <w:color w:val="00B0F0"/>
            <w:sz w:val="20"/>
            <w:szCs w:val="20"/>
            <w:u w:val="none"/>
            <w:lang w:val="en-GB"/>
          </w:rPr>
          <w:t>https://doi.org/10.1590/1982-7849rac2020190171</w:t>
        </w:r>
      </w:hyperlink>
      <w:r w:rsidRPr="00AF17D2">
        <w:rPr>
          <w:sz w:val="20"/>
          <w:szCs w:val="20"/>
          <w:lang w:val="en-GB"/>
        </w:rPr>
        <w:t xml:space="preserve"> ↑</w:t>
      </w:r>
    </w:p>
    <w:p w14:paraId="7671C149" w14:textId="347DC1A6" w:rsidR="00F70CEF" w:rsidRPr="00F70CEF" w:rsidRDefault="00F70CEF" w:rsidP="00F70CEF">
      <w:pPr>
        <w:pStyle w:val="Prrafodelista"/>
        <w:numPr>
          <w:ilvl w:val="0"/>
          <w:numId w:val="1"/>
        </w:numPr>
        <w:tabs>
          <w:tab w:val="left" w:pos="709"/>
          <w:tab w:val="left" w:pos="851"/>
        </w:tabs>
        <w:spacing w:before="107" w:line="276" w:lineRule="auto"/>
        <w:ind w:hanging="242"/>
        <w:rPr>
          <w:rFonts w:ascii="Arial" w:hAnsi="Arial"/>
          <w:i/>
          <w:sz w:val="20"/>
          <w:szCs w:val="20"/>
          <w:lang w:val="en-GB"/>
        </w:rPr>
      </w:pPr>
      <w:r w:rsidRPr="00AF17D2">
        <w:rPr>
          <w:sz w:val="20"/>
          <w:szCs w:val="20"/>
          <w:lang w:val="en-GB"/>
        </w:rPr>
        <w:t xml:space="preserve">C. Reddick, G. Cid, and S. Ganapati, “Determinants of blockchain adoption in the public sector: An empirical examination,” </w:t>
      </w:r>
      <w:r w:rsidRPr="00AF17D2">
        <w:rPr>
          <w:rStyle w:val="nfasis"/>
          <w:sz w:val="20"/>
          <w:szCs w:val="20"/>
          <w:lang w:val="en-GB"/>
        </w:rPr>
        <w:t xml:space="preserve">Inf. </w:t>
      </w:r>
      <w:r w:rsidRPr="00AF17D2">
        <w:rPr>
          <w:rStyle w:val="nfasis"/>
          <w:sz w:val="20"/>
          <w:szCs w:val="20"/>
        </w:rPr>
        <w:t>Polity</w:t>
      </w:r>
      <w:r w:rsidRPr="00AF17D2">
        <w:rPr>
          <w:sz w:val="20"/>
          <w:szCs w:val="20"/>
        </w:rPr>
        <w:t xml:space="preserve">, vol. 24, no. 4, pp. 379–396, 2019. </w:t>
      </w:r>
      <w:hyperlink r:id="rId56" w:tgtFrame="_new" w:history="1">
        <w:r w:rsidRPr="00AF17D2">
          <w:rPr>
            <w:rStyle w:val="Hipervnculo"/>
            <w:color w:val="00B0F0"/>
            <w:sz w:val="20"/>
            <w:szCs w:val="20"/>
            <w:u w:val="none"/>
          </w:rPr>
          <w:t>https://doi.org/10.3233/IP-190150</w:t>
        </w:r>
      </w:hyperlink>
      <w:r w:rsidRPr="00AF17D2">
        <w:rPr>
          <w:color w:val="00B0F0"/>
          <w:sz w:val="20"/>
          <w:szCs w:val="20"/>
        </w:rPr>
        <w:t xml:space="preserve"> </w:t>
      </w:r>
      <w:r w:rsidRPr="00AF17D2">
        <w:rPr>
          <w:sz w:val="20"/>
          <w:szCs w:val="20"/>
        </w:rPr>
        <w:t>↑</w:t>
      </w:r>
    </w:p>
    <w:p w14:paraId="577AD246" w14:textId="1DE1A086" w:rsidR="00F70CEF" w:rsidRPr="00F70CEF" w:rsidRDefault="00F70CEF" w:rsidP="00F70CEF">
      <w:pPr>
        <w:pStyle w:val="Prrafodelista"/>
        <w:numPr>
          <w:ilvl w:val="0"/>
          <w:numId w:val="1"/>
        </w:numPr>
        <w:tabs>
          <w:tab w:val="left" w:pos="709"/>
          <w:tab w:val="left" w:pos="851"/>
        </w:tabs>
        <w:spacing w:before="107" w:line="276" w:lineRule="auto"/>
        <w:ind w:hanging="242"/>
        <w:rPr>
          <w:rFonts w:ascii="Arial" w:hAnsi="Arial"/>
          <w:i/>
          <w:sz w:val="20"/>
          <w:szCs w:val="20"/>
          <w:lang w:val="en-GB"/>
        </w:rPr>
      </w:pPr>
      <w:r w:rsidRPr="00F70CEF">
        <w:rPr>
          <w:sz w:val="20"/>
          <w:szCs w:val="20"/>
          <w:lang w:val="en-GB"/>
        </w:rPr>
        <w:t xml:space="preserve">J. </w:t>
      </w:r>
      <w:r w:rsidRPr="00AF17D2">
        <w:rPr>
          <w:sz w:val="20"/>
          <w:szCs w:val="20"/>
          <w:lang w:val="en-GB"/>
        </w:rPr>
        <w:t xml:space="preserve">Casallas, J. Cueva, and J. Molano, “Smart contracts with blockchain in the public sector,” </w:t>
      </w:r>
      <w:r w:rsidRPr="00AF17D2">
        <w:rPr>
          <w:rStyle w:val="nfasis"/>
          <w:sz w:val="20"/>
          <w:szCs w:val="20"/>
          <w:lang w:val="en-GB"/>
        </w:rPr>
        <w:t>Int. J. Interact. Multimed. Artif. Intell.</w:t>
      </w:r>
      <w:r w:rsidRPr="00AF17D2">
        <w:rPr>
          <w:sz w:val="20"/>
          <w:szCs w:val="20"/>
          <w:lang w:val="en-GB"/>
        </w:rPr>
        <w:t xml:space="preserve">, vol. 6, no. 3, pp. 63–72, 2020. </w:t>
      </w:r>
      <w:hyperlink r:id="rId57" w:history="1">
        <w:r w:rsidRPr="00AF17D2">
          <w:rPr>
            <w:rStyle w:val="Hipervnculo"/>
            <w:color w:val="00B0F0"/>
            <w:sz w:val="20"/>
            <w:szCs w:val="20"/>
            <w:u w:val="none"/>
            <w:lang w:val="en-GB"/>
          </w:rPr>
          <w:t xml:space="preserve">https://doi.org/10.9781/ijimai.2020.07.005 </w:t>
        </w:r>
        <w:r w:rsidRPr="00AF17D2">
          <w:rPr>
            <w:rStyle w:val="Hipervnculo"/>
            <w:color w:val="auto"/>
            <w:sz w:val="20"/>
            <w:szCs w:val="20"/>
            <w:u w:val="none"/>
            <w:lang w:val="en-GB"/>
          </w:rPr>
          <w:t>↑</w:t>
        </w:r>
      </w:hyperlink>
    </w:p>
    <w:p w14:paraId="4BB200E7" w14:textId="77777777" w:rsidR="00133EE9" w:rsidRPr="00AF17D2" w:rsidRDefault="00133EE9" w:rsidP="00133EE9">
      <w:pPr>
        <w:pStyle w:val="NormalWeb"/>
        <w:numPr>
          <w:ilvl w:val="0"/>
          <w:numId w:val="1"/>
        </w:numPr>
        <w:ind w:hanging="237"/>
        <w:jc w:val="both"/>
        <w:rPr>
          <w:rFonts w:ascii="Book Antiqua" w:hAnsi="Book Antiqua"/>
          <w:sz w:val="20"/>
          <w:szCs w:val="20"/>
        </w:rPr>
      </w:pPr>
      <w:bookmarkStart w:id="19" w:name="_Hlk203057250"/>
      <w:bookmarkEnd w:id="18"/>
      <w:r w:rsidRPr="00AF17D2">
        <w:rPr>
          <w:rFonts w:ascii="Book Antiqua" w:hAnsi="Book Antiqua"/>
          <w:sz w:val="20"/>
          <w:szCs w:val="20"/>
        </w:rPr>
        <w:t xml:space="preserve">P. Gazzola, E. Pavione, A. Barge, and F. Fassio, “Using the transparency of supply chain powered by blockchain to improve sustainability relationships with stakeholders in the food sector: The case study of Lavazza,” Sustainability, vol. 15, no. 10, art. 7884, 2023. </w:t>
      </w:r>
      <w:hyperlink r:id="rId58" w:tgtFrame="_new" w:history="1">
        <w:r w:rsidRPr="00AF17D2">
          <w:rPr>
            <w:rFonts w:ascii="Book Antiqua" w:hAnsi="Book Antiqua"/>
            <w:color w:val="00B0F0"/>
            <w:sz w:val="20"/>
            <w:szCs w:val="20"/>
          </w:rPr>
          <w:t>https://doi.org/10.3390/su15107884</w:t>
        </w:r>
      </w:hyperlink>
      <w:r w:rsidRPr="00AF17D2">
        <w:rPr>
          <w:rFonts w:ascii="Book Antiqua" w:hAnsi="Book Antiqua"/>
          <w:sz w:val="20"/>
          <w:szCs w:val="20"/>
        </w:rPr>
        <w:t xml:space="preserve"> ↑</w:t>
      </w:r>
    </w:p>
    <w:p w14:paraId="2CF771F1" w14:textId="77777777" w:rsidR="00133EE9" w:rsidRPr="00133EE9" w:rsidRDefault="00133EE9"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20" w:name="_Hlk203057473"/>
      <w:bookmarkEnd w:id="19"/>
      <w:r w:rsidRPr="00AF17D2">
        <w:rPr>
          <w:rFonts w:eastAsia="Times New Roman" w:cs="Times New Roman"/>
          <w:sz w:val="20"/>
          <w:szCs w:val="20"/>
          <w:lang w:val="en-GB" w:eastAsia="en-GB"/>
        </w:rPr>
        <w:t xml:space="preserve">N. Baptista, J. F. Januario, and C. O. Cruz, “Social and financial sustainability of real estate investment: Evaluating public perceptions towards blockchain technology,” Sustainability, vol. 15, </w:t>
      </w:r>
      <w:r w:rsidRPr="00AF17D2">
        <w:rPr>
          <w:rFonts w:eastAsia="Times New Roman" w:cs="Times New Roman"/>
          <w:sz w:val="20"/>
          <w:szCs w:val="20"/>
          <w:lang w:val="en-GB" w:eastAsia="en-GB"/>
        </w:rPr>
        <w:lastRenderedPageBreak/>
        <w:t xml:space="preserve">no. 16, art. 12288, 2023. </w:t>
      </w:r>
      <w:hyperlink r:id="rId59" w:tgtFrame="_new" w:history="1">
        <w:r w:rsidRPr="00133EE9">
          <w:rPr>
            <w:rFonts w:eastAsia="Times New Roman" w:cs="Times New Roman"/>
            <w:color w:val="00B0F0"/>
            <w:sz w:val="20"/>
            <w:szCs w:val="20"/>
            <w:lang w:val="en-GB" w:eastAsia="en-GB"/>
          </w:rPr>
          <w:t>https://doi.org/10.3390/su151612288</w:t>
        </w:r>
      </w:hyperlink>
      <w:r w:rsidRPr="00133EE9">
        <w:rPr>
          <w:rFonts w:eastAsia="Times New Roman" w:cs="Times New Roman"/>
          <w:sz w:val="20"/>
          <w:szCs w:val="20"/>
          <w:lang w:val="en-GB" w:eastAsia="en-GB"/>
        </w:rPr>
        <w:t xml:space="preserve"> ↑</w:t>
      </w:r>
    </w:p>
    <w:p w14:paraId="25371460" w14:textId="77777777" w:rsidR="00133EE9" w:rsidRPr="00B433E1" w:rsidRDefault="00133EE9"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21" w:name="_Hlk203057671"/>
      <w:bookmarkEnd w:id="20"/>
      <w:r w:rsidRPr="00AF17D2">
        <w:rPr>
          <w:rFonts w:eastAsia="Times New Roman" w:cs="Times New Roman"/>
          <w:sz w:val="20"/>
          <w:szCs w:val="20"/>
          <w:lang w:eastAsia="en-GB"/>
        </w:rPr>
        <w:t xml:space="preserve">F. Serale, C. Redl, and A. Muente, “Blockchain en la administración pública: ¿Mucho ruido y pocos bloques?,” Banco Interamericano de Desarrollo (BID), 2019. </w:t>
      </w:r>
      <w:r w:rsidRPr="00B433E1">
        <w:rPr>
          <w:rFonts w:eastAsia="Times New Roman" w:cs="Times New Roman"/>
          <w:sz w:val="20"/>
          <w:szCs w:val="20"/>
          <w:lang w:val="en-GB" w:eastAsia="en-GB"/>
        </w:rPr>
        <w:t xml:space="preserve">[Online]. Available: </w:t>
      </w:r>
      <w:hyperlink r:id="rId60" w:tgtFrame="_new" w:history="1">
        <w:r w:rsidRPr="00B433E1">
          <w:rPr>
            <w:rFonts w:eastAsia="Times New Roman" w:cs="Times New Roman"/>
            <w:color w:val="00B0F0"/>
            <w:sz w:val="20"/>
            <w:szCs w:val="20"/>
            <w:lang w:val="en-GB" w:eastAsia="en-GB"/>
          </w:rPr>
          <w:t>https://publications.iadb.org/publications/spanish/document/Blockchain_en_la_administraci%C3%B3n_p%C3%BAblica_Mucho_ruido_y_pocos_bloques_es.pdf</w:t>
        </w:r>
      </w:hyperlink>
      <w:r w:rsidRPr="00B433E1">
        <w:rPr>
          <w:rFonts w:eastAsia="Times New Roman" w:cs="Times New Roman"/>
          <w:sz w:val="20"/>
          <w:szCs w:val="20"/>
          <w:lang w:val="en-GB" w:eastAsia="en-GB"/>
        </w:rPr>
        <w:t xml:space="preserve"> ↑</w:t>
      </w:r>
    </w:p>
    <w:p w14:paraId="7A0CFCE3" w14:textId="77777777" w:rsidR="00133EE9" w:rsidRPr="00133EE9" w:rsidRDefault="00133EE9" w:rsidP="004145AE">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22" w:name="_Hlk203057814"/>
      <w:bookmarkEnd w:id="21"/>
      <w:r w:rsidRPr="00AF17D2">
        <w:rPr>
          <w:rFonts w:eastAsia="Times New Roman" w:cs="Times New Roman"/>
          <w:sz w:val="20"/>
          <w:szCs w:val="20"/>
          <w:lang w:val="en-GB" w:eastAsia="en-GB"/>
        </w:rPr>
        <w:t xml:space="preserve">S. Semenzin, D. Rozas, and S. Hassan, “Blockchain-based application at a governmental level: Disruption or illusion? The case of Estonia,” Policy Soc., vol. 41, no. 3, pp. 386–401, 2022. </w:t>
      </w:r>
      <w:hyperlink r:id="rId61" w:tgtFrame="_new" w:history="1">
        <w:r w:rsidRPr="00AF17D2">
          <w:rPr>
            <w:rFonts w:eastAsia="Times New Roman" w:cs="Times New Roman"/>
            <w:color w:val="00B0F0"/>
            <w:sz w:val="20"/>
            <w:szCs w:val="20"/>
            <w:lang w:val="en-GB" w:eastAsia="en-GB"/>
          </w:rPr>
          <w:t>https://doi.org/10.1093/polsoc/puac014</w:t>
        </w:r>
      </w:hyperlink>
      <w:r w:rsidRPr="00AF17D2">
        <w:rPr>
          <w:rFonts w:eastAsia="Times New Roman" w:cs="Times New Roman"/>
          <w:sz w:val="20"/>
          <w:szCs w:val="20"/>
          <w:lang w:val="en-GB" w:eastAsia="en-GB"/>
        </w:rPr>
        <w:t xml:space="preserve"> ↑</w:t>
      </w:r>
    </w:p>
    <w:p w14:paraId="6A2C1B9F" w14:textId="77777777"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bookmarkStart w:id="23" w:name="_Hlk203057948"/>
      <w:bookmarkEnd w:id="22"/>
      <w:r w:rsidRPr="00AF17D2">
        <w:rPr>
          <w:rFonts w:eastAsia="Times New Roman" w:cs="Times New Roman"/>
          <w:sz w:val="20"/>
          <w:szCs w:val="20"/>
          <w:lang w:val="en-GB" w:eastAsia="en-GB"/>
        </w:rPr>
        <w:t xml:space="preserve">V. Thakur, M. N. Doja, Y. K. Dwivedi, T. Ahmad, and G. Khadanga, “Land records on blockchain for implementation of land titling in India,” Int. J. Inf. Manage., vol. 52, art. 101940, 2020. </w:t>
      </w:r>
      <w:hyperlink r:id="rId62" w:tgtFrame="_new" w:history="1">
        <w:r w:rsidRPr="00AF17D2">
          <w:rPr>
            <w:rFonts w:eastAsia="Times New Roman" w:cs="Times New Roman"/>
            <w:color w:val="00B0F0"/>
            <w:sz w:val="20"/>
            <w:szCs w:val="20"/>
            <w:lang w:val="en-GB" w:eastAsia="en-GB"/>
          </w:rPr>
          <w:t>https://doi.org/10.1016/j.ijinfomgt.2019.04.013</w:t>
        </w:r>
      </w:hyperlink>
      <w:r w:rsidRPr="00AF17D2">
        <w:rPr>
          <w:rFonts w:eastAsia="Times New Roman" w:cs="Times New Roman"/>
          <w:sz w:val="20"/>
          <w:szCs w:val="20"/>
          <w:lang w:val="en-GB" w:eastAsia="en-GB"/>
        </w:rPr>
        <w:t xml:space="preserve"> ↑</w:t>
      </w:r>
      <w:bookmarkEnd w:id="23"/>
    </w:p>
    <w:p w14:paraId="33C5F1A7" w14:textId="77777777"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133EE9">
        <w:rPr>
          <w:rFonts w:eastAsia="Times New Roman" w:cs="Times New Roman"/>
          <w:sz w:val="20"/>
          <w:szCs w:val="20"/>
          <w:lang w:val="en-GB" w:eastAsia="en-GB"/>
        </w:rPr>
        <w:t xml:space="preserve">G. Capece and F. Lorenzi, “Blockchain and healthcare: Opportunities and prospects for the EHR,” Sustainability, vol. 12, no. 22, art. 9693, 2020. </w:t>
      </w:r>
      <w:hyperlink r:id="rId63" w:tgtFrame="_new" w:history="1">
        <w:r w:rsidRPr="00133EE9">
          <w:rPr>
            <w:rFonts w:eastAsia="Times New Roman" w:cs="Times New Roman"/>
            <w:color w:val="00B0F0"/>
            <w:sz w:val="20"/>
            <w:szCs w:val="20"/>
            <w:lang w:val="en-GB" w:eastAsia="en-GB"/>
          </w:rPr>
          <w:t>https://doi.org/10.3390/su12229693</w:t>
        </w:r>
      </w:hyperlink>
      <w:r w:rsidRPr="00133EE9">
        <w:rPr>
          <w:rFonts w:eastAsia="Times New Roman" w:cs="Times New Roman"/>
          <w:sz w:val="20"/>
          <w:szCs w:val="20"/>
          <w:lang w:val="en-GB" w:eastAsia="en-GB"/>
        </w:rPr>
        <w:t xml:space="preserve"> ↑</w:t>
      </w:r>
      <w:bookmarkStart w:id="24" w:name="_Hlk203058092"/>
      <w:r w:rsidRPr="00133EE9">
        <w:rPr>
          <w:rFonts w:eastAsia="Times New Roman" w:cs="Times New Roman"/>
          <w:sz w:val="20"/>
          <w:szCs w:val="20"/>
          <w:lang w:val="en-GB" w:eastAsia="en-GB"/>
        </w:rPr>
        <w:t xml:space="preserve"> </w:t>
      </w:r>
    </w:p>
    <w:p w14:paraId="30711AC7" w14:textId="5C195DB6"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rFonts w:eastAsia="Times New Roman" w:cs="Times New Roman"/>
          <w:sz w:val="20"/>
          <w:szCs w:val="20"/>
          <w:lang w:val="en-GB" w:eastAsia="en-GB"/>
        </w:rPr>
        <w:t xml:space="preserve">Y. Liu, Y. Zhang, and D. Zheng, “A blockchain and internet of things-based information infrastructure for the Chinese automotive sector carbon-credit market,” Financial Innov., vol. 11, art. 53, 2025. </w:t>
      </w:r>
      <w:hyperlink r:id="rId64" w:tgtFrame="_new" w:history="1">
        <w:r w:rsidRPr="00AF17D2">
          <w:rPr>
            <w:rFonts w:eastAsia="Times New Roman" w:cs="Times New Roman"/>
            <w:color w:val="00B0F0"/>
            <w:sz w:val="20"/>
            <w:szCs w:val="20"/>
            <w:lang w:val="en-GB" w:eastAsia="en-GB"/>
          </w:rPr>
          <w:t>https://doi.org/10.1186/s40854-024-00737-w</w:t>
        </w:r>
      </w:hyperlink>
      <w:r w:rsidRPr="00AF17D2">
        <w:rPr>
          <w:rFonts w:eastAsia="Times New Roman" w:cs="Times New Roman"/>
          <w:sz w:val="20"/>
          <w:szCs w:val="20"/>
          <w:lang w:val="en-GB" w:eastAsia="en-GB"/>
        </w:rPr>
        <w:t xml:space="preserve"> ↑</w:t>
      </w:r>
    </w:p>
    <w:p w14:paraId="542D080D" w14:textId="19AFC22A"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rFonts w:eastAsia="Times New Roman" w:cs="Times New Roman"/>
          <w:sz w:val="20"/>
          <w:szCs w:val="20"/>
          <w:lang w:val="en-GB" w:eastAsia="en-GB"/>
        </w:rPr>
        <w:t xml:space="preserve">U4 Anti-Corruption Resource Centre, “Anti-corruption reforms have been successful in Georgia, but blockchain is stealing the limelight,” Chr. Michelsen Institute, Oct. 24, 2022. [Online]. Available: </w:t>
      </w:r>
      <w:hyperlink r:id="rId65" w:tgtFrame="_new" w:history="1">
        <w:r w:rsidRPr="00AF17D2">
          <w:rPr>
            <w:rFonts w:eastAsia="Times New Roman" w:cs="Times New Roman"/>
            <w:color w:val="00B0F0"/>
            <w:sz w:val="20"/>
            <w:szCs w:val="20"/>
            <w:lang w:val="en-GB" w:eastAsia="en-GB"/>
          </w:rPr>
          <w:t>https://www.u4.no/blog/anti-corruption-reforms-successful-in-georgia-blockchain-stealing-limelight</w:t>
        </w:r>
      </w:hyperlink>
      <w:r w:rsidRPr="00AF17D2">
        <w:rPr>
          <w:rFonts w:eastAsia="Times New Roman" w:cs="Times New Roman"/>
          <w:color w:val="00B0F0"/>
          <w:sz w:val="20"/>
          <w:szCs w:val="20"/>
          <w:lang w:val="en-GB" w:eastAsia="en-GB"/>
        </w:rPr>
        <w:t xml:space="preserve"> </w:t>
      </w:r>
      <w:r w:rsidRPr="00AF17D2">
        <w:rPr>
          <w:rFonts w:eastAsia="Times New Roman" w:cs="Times New Roman"/>
          <w:sz w:val="20"/>
          <w:szCs w:val="20"/>
          <w:lang w:val="en-GB" w:eastAsia="en-GB"/>
        </w:rPr>
        <w:t>↑</w:t>
      </w:r>
    </w:p>
    <w:p w14:paraId="06B887CC" w14:textId="6984D1CC"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rFonts w:ascii="Times New Roman" w:eastAsia="Times New Roman" w:hAnsi="Times New Roman" w:cs="Times New Roman"/>
          <w:sz w:val="20"/>
          <w:szCs w:val="20"/>
          <w:lang w:val="en-GB" w:eastAsia="en-GB"/>
        </w:rPr>
        <w:t> </w:t>
      </w:r>
      <w:r w:rsidRPr="00AF17D2">
        <w:rPr>
          <w:rFonts w:eastAsia="Times New Roman" w:cs="Times New Roman"/>
          <w:sz w:val="20"/>
          <w:szCs w:val="20"/>
          <w:lang w:val="en-GB" w:eastAsia="en-GB"/>
        </w:rPr>
        <w:t xml:space="preserve">ConsenSys, </w:t>
      </w:r>
      <w:r w:rsidRPr="00AF17D2">
        <w:rPr>
          <w:rFonts w:eastAsia="Times New Roman"/>
          <w:sz w:val="20"/>
          <w:szCs w:val="20"/>
          <w:lang w:val="en-GB" w:eastAsia="en-GB"/>
        </w:rPr>
        <w:t>“</w:t>
      </w:r>
      <w:r w:rsidRPr="00AF17D2">
        <w:rPr>
          <w:rFonts w:eastAsia="Times New Roman" w:cs="Times New Roman"/>
          <w:sz w:val="20"/>
          <w:szCs w:val="20"/>
          <w:lang w:val="en-GB" w:eastAsia="en-GB"/>
        </w:rPr>
        <w:t>Smart Dubai: Blockchain case study for government in the UAE,</w:t>
      </w:r>
      <w:r w:rsidRPr="00AF17D2">
        <w:rPr>
          <w:rFonts w:eastAsia="Times New Roman"/>
          <w:sz w:val="20"/>
          <w:szCs w:val="20"/>
          <w:lang w:val="en-GB" w:eastAsia="en-GB"/>
        </w:rPr>
        <w:t>”</w:t>
      </w:r>
      <w:r w:rsidRPr="00AF17D2">
        <w:rPr>
          <w:rFonts w:eastAsia="Times New Roman" w:cs="Times New Roman"/>
          <w:sz w:val="20"/>
          <w:szCs w:val="20"/>
          <w:lang w:val="en-GB" w:eastAsia="en-GB"/>
        </w:rPr>
        <w:t xml:space="preserve"> ConsenSys, 2021. [Online]. Available: </w:t>
      </w:r>
      <w:hyperlink r:id="rId66" w:tgtFrame="_new" w:history="1">
        <w:r w:rsidRPr="00AF17D2">
          <w:rPr>
            <w:rFonts w:eastAsia="Times New Roman" w:cs="Times New Roman"/>
            <w:color w:val="00B0F0"/>
            <w:sz w:val="20"/>
            <w:szCs w:val="20"/>
            <w:u w:val="single"/>
            <w:lang w:val="en-GB" w:eastAsia="en-GB"/>
          </w:rPr>
          <w:t>https://consensys.io/blockchain-use-cases/government-and-the-public-sector/smart-dubai</w:t>
        </w:r>
      </w:hyperlink>
      <w:r w:rsidRPr="00AF17D2">
        <w:rPr>
          <w:rFonts w:eastAsia="Times New Roman" w:cs="Times New Roman"/>
          <w:sz w:val="20"/>
          <w:szCs w:val="20"/>
          <w:lang w:val="en-GB" w:eastAsia="en-GB"/>
        </w:rPr>
        <w:t xml:space="preserve"> ↑</w:t>
      </w:r>
    </w:p>
    <w:p w14:paraId="277160E5" w14:textId="6F00B859"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rFonts w:eastAsia="Times New Roman" w:cs="Times New Roman"/>
          <w:sz w:val="20"/>
          <w:szCs w:val="20"/>
          <w:lang w:val="en-GB" w:eastAsia="en-GB"/>
        </w:rPr>
        <w:t xml:space="preserve">V. A. Da Silveira, S. R. Reis Da Costa, and D. Resende, “Blockchain technology in innovation ecosystems for sustainable purchases through the perception of public managers,” WSEAS Trans. Bus. Econ., vol. 19, pp. 790–804, 2022. doi: </w:t>
      </w:r>
      <w:r w:rsidRPr="00AF17D2">
        <w:rPr>
          <w:rFonts w:eastAsia="Times New Roman" w:cs="Times New Roman"/>
          <w:color w:val="00B0F0"/>
          <w:sz w:val="20"/>
          <w:szCs w:val="20"/>
          <w:lang w:val="en-GB" w:eastAsia="en-GB"/>
        </w:rPr>
        <w:t xml:space="preserve">10.37394/23207.2022.19.69 </w:t>
      </w:r>
      <w:r w:rsidRPr="00AF17D2">
        <w:rPr>
          <w:rFonts w:eastAsia="Times New Roman" w:cs="Times New Roman"/>
          <w:sz w:val="20"/>
          <w:szCs w:val="20"/>
          <w:lang w:val="en-GB" w:eastAsia="en-GB"/>
        </w:rPr>
        <w:t>↑</w:t>
      </w:r>
    </w:p>
    <w:p w14:paraId="09AD1031" w14:textId="05B16AE3"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rPr>
      </w:pPr>
      <w:r w:rsidRPr="00AF17D2">
        <w:rPr>
          <w:rFonts w:eastAsia="Times New Roman" w:cs="Times New Roman"/>
          <w:sz w:val="20"/>
          <w:szCs w:val="20"/>
          <w:lang w:eastAsia="en-GB"/>
        </w:rPr>
        <w:t xml:space="preserve">C. Villafán, “Blockchain e identidad. Oportunidades de implementación para la Ley de Ciudadanía Digital de la Ciudad de México,” Universidad Nacional Autónoma de México, 2024. doi: </w:t>
      </w:r>
      <w:r w:rsidRPr="00AF17D2">
        <w:rPr>
          <w:rFonts w:eastAsia="Times New Roman" w:cs="Times New Roman"/>
          <w:color w:val="00B0F0"/>
          <w:sz w:val="20"/>
          <w:szCs w:val="20"/>
          <w:lang w:eastAsia="en-GB"/>
        </w:rPr>
        <w:t xml:space="preserve">10.22201/iij.25940082e.2024.18.18888 </w:t>
      </w:r>
      <w:r w:rsidRPr="00AF17D2">
        <w:rPr>
          <w:rFonts w:eastAsia="Times New Roman" w:cs="Times New Roman"/>
          <w:sz w:val="20"/>
          <w:szCs w:val="20"/>
          <w:lang w:eastAsia="en-GB"/>
        </w:rPr>
        <w:t>↑</w:t>
      </w:r>
    </w:p>
    <w:p w14:paraId="025E3440" w14:textId="74F10D2E"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sz w:val="20"/>
          <w:szCs w:val="20"/>
          <w:lang w:val="en-GB"/>
        </w:rPr>
        <w:t xml:space="preserve">E. Karyani, I. Geraldina, M. G. Haque, and A. Zahir, “Intention to adopt a blockchain-based halal certification: Indonesia consumers and regulatory perspective,” J. Islamic Marketing, vol. 15, no. 7, pp. 1766–1782, 2024. doi: </w:t>
      </w:r>
      <w:r w:rsidRPr="00AF17D2">
        <w:rPr>
          <w:color w:val="00B0F0"/>
          <w:sz w:val="20"/>
          <w:szCs w:val="20"/>
          <w:lang w:val="en-GB"/>
        </w:rPr>
        <w:t xml:space="preserve">10.1108/JIMA-03-2023-0069 </w:t>
      </w:r>
      <w:r w:rsidRPr="00AF17D2">
        <w:rPr>
          <w:rFonts w:eastAsia="Times New Roman" w:cs="Times New Roman"/>
          <w:sz w:val="20"/>
          <w:szCs w:val="20"/>
          <w:lang w:val="en-GB" w:eastAsia="en-GB"/>
        </w:rPr>
        <w:t>↑</w:t>
      </w:r>
    </w:p>
    <w:p w14:paraId="5E938D81" w14:textId="105D3246"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rFonts w:eastAsia="Times New Roman" w:cs="Times New Roman"/>
          <w:sz w:val="20"/>
          <w:szCs w:val="20"/>
          <w:lang w:val="en-GB" w:eastAsia="en-GB"/>
        </w:rPr>
        <w:t xml:space="preserve">J. Yu, “Exploration of the application of blockchain in e-government: Opportunities and risks coexist,” Inf. Serv. Use, vol. 44, no. 3, 2024. doi: </w:t>
      </w:r>
      <w:r w:rsidRPr="00AF17D2">
        <w:rPr>
          <w:rFonts w:eastAsia="Times New Roman" w:cs="Times New Roman"/>
          <w:color w:val="00B0F0"/>
          <w:sz w:val="20"/>
          <w:szCs w:val="20"/>
          <w:lang w:val="en-GB" w:eastAsia="en-GB"/>
        </w:rPr>
        <w:t xml:space="preserve">10.3233/ISU-240013 </w:t>
      </w:r>
      <w:r w:rsidRPr="00AF17D2">
        <w:rPr>
          <w:rFonts w:eastAsia="Times New Roman" w:cs="Times New Roman"/>
          <w:sz w:val="20"/>
          <w:szCs w:val="20"/>
          <w:lang w:val="en-GB" w:eastAsia="en-GB"/>
        </w:rPr>
        <w:t>↑</w:t>
      </w:r>
    </w:p>
    <w:p w14:paraId="57D9CF27" w14:textId="7DA46DA0"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sz w:val="20"/>
          <w:szCs w:val="20"/>
          <w:lang w:val="en-GB"/>
        </w:rPr>
        <w:t xml:space="preserve">J. Hidayati, R. Vamelia, J. Hammami, and E. Endri, “Transparent distribution system design of halal beef supply chain,” Uncertain Supply Chain Manag., vol. 11, no. 1, pp. 31–40, 2023. doi: </w:t>
      </w:r>
      <w:r w:rsidRPr="00AF17D2">
        <w:rPr>
          <w:color w:val="00B0F0"/>
          <w:sz w:val="20"/>
          <w:szCs w:val="20"/>
          <w:lang w:val="en-GB"/>
        </w:rPr>
        <w:t>10.5267/j.uscm.2022.139</w:t>
      </w:r>
      <w:r>
        <w:rPr>
          <w:color w:val="00B0F0"/>
          <w:sz w:val="20"/>
          <w:szCs w:val="20"/>
          <w:lang w:val="en-GB"/>
        </w:rPr>
        <w:t xml:space="preserve"> </w:t>
      </w:r>
      <w:r w:rsidRPr="00AF17D2">
        <w:rPr>
          <w:rFonts w:eastAsia="Times New Roman" w:cs="Times New Roman"/>
          <w:sz w:val="20"/>
          <w:szCs w:val="20"/>
          <w:lang w:val="en-GB" w:eastAsia="en-GB"/>
        </w:rPr>
        <w:t>↑</w:t>
      </w:r>
    </w:p>
    <w:p w14:paraId="1123D51D" w14:textId="4EB317D1"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133EE9">
        <w:rPr>
          <w:sz w:val="20"/>
          <w:szCs w:val="20"/>
          <w:lang w:val="en-GB"/>
        </w:rPr>
        <w:t xml:space="preserve">A. Saari, J. Vimpari, and S. Junnila, “Blockchain in real estate: Recent developments and empirical applications,” Land Use Policy, vol. 118, art. 106334, 2022. doi: </w:t>
      </w:r>
      <w:r w:rsidRPr="00133EE9">
        <w:rPr>
          <w:color w:val="00B0F0"/>
          <w:sz w:val="20"/>
          <w:szCs w:val="20"/>
          <w:lang w:val="en-GB"/>
        </w:rPr>
        <w:t>10.1016/j.landusepol.2022.106334</w:t>
      </w:r>
      <w:r>
        <w:rPr>
          <w:color w:val="00B0F0"/>
          <w:sz w:val="20"/>
          <w:szCs w:val="20"/>
          <w:lang w:val="en-GB"/>
        </w:rPr>
        <w:t xml:space="preserve"> </w:t>
      </w:r>
      <w:r w:rsidRPr="00AF17D2">
        <w:rPr>
          <w:rFonts w:eastAsia="Times New Roman" w:cs="Times New Roman"/>
          <w:sz w:val="20"/>
          <w:szCs w:val="20"/>
          <w:lang w:val="en-GB" w:eastAsia="en-GB"/>
        </w:rPr>
        <w:t>↑</w:t>
      </w:r>
    </w:p>
    <w:p w14:paraId="6998B032" w14:textId="340A808F"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color w:val="00B0F0"/>
          <w:sz w:val="20"/>
          <w:szCs w:val="20"/>
          <w:lang w:val="en-GB"/>
        </w:rPr>
      </w:pPr>
      <w:r w:rsidRPr="00AF17D2">
        <w:rPr>
          <w:sz w:val="20"/>
          <w:szCs w:val="20"/>
          <w:lang w:val="en-GB"/>
        </w:rPr>
        <w:t xml:space="preserve">I. Dunayev, N. Gavkalova, and A. Kud, “Designing a platform-based model of civic participation within the smart-city concept for post-war Ukrainian cities,” East.-Eur. J. Enterp. Technol., vol. 4, no. 13[124], pp. 46–56, 2023. doi: </w:t>
      </w:r>
      <w:r w:rsidRPr="00133EE9">
        <w:rPr>
          <w:color w:val="00B0F0"/>
          <w:sz w:val="20"/>
          <w:szCs w:val="20"/>
          <w:lang w:val="en-GB"/>
        </w:rPr>
        <w:t>10.15587/1729-4061.2023.285448</w:t>
      </w:r>
      <w:r>
        <w:rPr>
          <w:color w:val="00B0F0"/>
          <w:sz w:val="20"/>
          <w:szCs w:val="20"/>
          <w:lang w:val="en-GB"/>
        </w:rPr>
        <w:t xml:space="preserve"> </w:t>
      </w:r>
      <w:r w:rsidRPr="00AF17D2">
        <w:rPr>
          <w:rFonts w:eastAsia="Times New Roman" w:cs="Times New Roman"/>
          <w:sz w:val="20"/>
          <w:szCs w:val="20"/>
          <w:lang w:val="en-GB" w:eastAsia="en-GB"/>
        </w:rPr>
        <w:t>↑</w:t>
      </w:r>
    </w:p>
    <w:p w14:paraId="079C4586" w14:textId="0B253FCC"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hAnsi="Arial"/>
          <w:i/>
          <w:sz w:val="20"/>
          <w:szCs w:val="20"/>
          <w:lang w:val="en-GB"/>
        </w:rPr>
      </w:pPr>
      <w:r w:rsidRPr="00AF17D2">
        <w:rPr>
          <w:sz w:val="20"/>
          <w:szCs w:val="20"/>
          <w:lang w:val="en-GB"/>
        </w:rPr>
        <w:lastRenderedPageBreak/>
        <w:t xml:space="preserve">S. Nguyen et al., “Blockchain-powered incentive system for JIT arrival operations and decarbonization in maritime shipping,” Sustainability, vol. 15, no. 22, art. 15686, 2023. doi: </w:t>
      </w:r>
      <w:r w:rsidRPr="00AF17D2">
        <w:rPr>
          <w:color w:val="00B0F0"/>
          <w:sz w:val="20"/>
          <w:szCs w:val="20"/>
          <w:lang w:val="en-GB"/>
        </w:rPr>
        <w:t>10.3390/su152215686</w:t>
      </w:r>
      <w:r>
        <w:rPr>
          <w:color w:val="00B0F0"/>
          <w:sz w:val="20"/>
          <w:szCs w:val="20"/>
          <w:lang w:val="en-GB"/>
        </w:rPr>
        <w:t xml:space="preserve"> </w:t>
      </w:r>
      <w:r w:rsidRPr="00AF17D2">
        <w:rPr>
          <w:rFonts w:eastAsia="Times New Roman" w:cs="Times New Roman"/>
          <w:sz w:val="20"/>
          <w:szCs w:val="20"/>
          <w:lang w:val="en-GB" w:eastAsia="en-GB"/>
        </w:rPr>
        <w:t>↑</w:t>
      </w:r>
    </w:p>
    <w:p w14:paraId="7AF533BE" w14:textId="5C7C728F" w:rsidR="00133EE9" w:rsidRPr="00133EE9" w:rsidRDefault="00133EE9" w:rsidP="004145AE">
      <w:pPr>
        <w:pStyle w:val="Prrafodelista"/>
        <w:numPr>
          <w:ilvl w:val="0"/>
          <w:numId w:val="1"/>
        </w:numPr>
        <w:tabs>
          <w:tab w:val="left" w:pos="379"/>
          <w:tab w:val="left" w:pos="577"/>
        </w:tabs>
        <w:spacing w:before="107" w:line="276" w:lineRule="auto"/>
        <w:ind w:hanging="242"/>
        <w:rPr>
          <w:rFonts w:ascii="Arial"/>
          <w:i/>
          <w:sz w:val="20"/>
          <w:szCs w:val="20"/>
          <w:lang w:val="en-GB"/>
        </w:rPr>
      </w:pPr>
      <w:bookmarkStart w:id="25" w:name="_Hlk203058190"/>
      <w:bookmarkEnd w:id="24"/>
      <w:r w:rsidRPr="00AF17D2">
        <w:rPr>
          <w:sz w:val="20"/>
          <w:szCs w:val="20"/>
          <w:lang w:val="en-GB"/>
        </w:rPr>
        <w:t xml:space="preserve">M. B. Moraes and F. J. B. Laurindo, “Opportunities and challenges of using blockchain technology in government accounting in Brazil,” BAR-Brazil. Adm. Rev., vol. 18, spe, art. e210010, 2021. doi: </w:t>
      </w:r>
      <w:r w:rsidRPr="00AF17D2">
        <w:rPr>
          <w:color w:val="00B0F0"/>
          <w:sz w:val="20"/>
          <w:szCs w:val="20"/>
          <w:lang w:val="en-GB"/>
        </w:rPr>
        <w:t>10.1590/1807-7692bar2021200109</w:t>
      </w:r>
      <w:r>
        <w:rPr>
          <w:color w:val="00B0F0"/>
          <w:sz w:val="20"/>
          <w:szCs w:val="20"/>
          <w:lang w:val="en-GB"/>
        </w:rPr>
        <w:t xml:space="preserve"> </w:t>
      </w:r>
      <w:r w:rsidRPr="00AF17D2">
        <w:rPr>
          <w:rFonts w:eastAsia="Times New Roman" w:cs="Times New Roman"/>
          <w:sz w:val="20"/>
          <w:szCs w:val="20"/>
          <w:lang w:val="en-GB" w:eastAsia="en-GB"/>
        </w:rPr>
        <w:t>↑</w:t>
      </w:r>
    </w:p>
    <w:p w14:paraId="3DAEF018" w14:textId="77777777"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i/>
          <w:sz w:val="20"/>
          <w:szCs w:val="20"/>
          <w:lang w:val="en-GB"/>
        </w:rPr>
      </w:pPr>
      <w:r w:rsidRPr="00AF17D2">
        <w:rPr>
          <w:sz w:val="20"/>
          <w:szCs w:val="20"/>
          <w:lang w:val="en-GB"/>
        </w:rPr>
        <w:t xml:space="preserve">H. Al Shamsi, “Enhancing digital transactions with blockchain technology: Descriptive-analytical study,” Access Justice East. Eur., vol. 7, no. 3, pp. 485–504, 2024. doi: </w:t>
      </w:r>
      <w:r w:rsidRPr="00AF17D2">
        <w:rPr>
          <w:color w:val="00B0F0"/>
          <w:sz w:val="20"/>
          <w:szCs w:val="20"/>
          <w:lang w:val="en-GB"/>
        </w:rPr>
        <w:t>10.33327/AJEE-18-7.3-a000322</w:t>
      </w:r>
      <w:bookmarkStart w:id="26" w:name="_Hlk203058296"/>
      <w:bookmarkEnd w:id="25"/>
    </w:p>
    <w:p w14:paraId="067B503F" w14:textId="50C225E6" w:rsidR="00133EE9" w:rsidRPr="00133EE9" w:rsidRDefault="00133EE9" w:rsidP="00133EE9">
      <w:pPr>
        <w:pStyle w:val="Prrafodelista"/>
        <w:numPr>
          <w:ilvl w:val="0"/>
          <w:numId w:val="1"/>
        </w:numPr>
        <w:tabs>
          <w:tab w:val="left" w:pos="379"/>
          <w:tab w:val="left" w:pos="577"/>
        </w:tabs>
        <w:spacing w:before="107" w:line="276" w:lineRule="auto"/>
        <w:ind w:hanging="242"/>
        <w:rPr>
          <w:rFonts w:ascii="Arial"/>
          <w:i/>
          <w:sz w:val="20"/>
          <w:szCs w:val="20"/>
          <w:lang w:val="en-GB"/>
        </w:rPr>
      </w:pPr>
      <w:r w:rsidRPr="00133EE9">
        <w:rPr>
          <w:sz w:val="20"/>
          <w:szCs w:val="20"/>
          <w:lang w:val="en-GB"/>
        </w:rPr>
        <w:t xml:space="preserve">M. L. Flórez and P. Langer, “Picking the juiciest cherries from the blockchain tree: Is the hype still alive?,” Int. J. Law Inf. Technol., vol. 32, art. eaae022, 2024. doi: </w:t>
      </w:r>
      <w:r w:rsidRPr="00133EE9">
        <w:rPr>
          <w:color w:val="00B0F0"/>
          <w:sz w:val="20"/>
          <w:szCs w:val="20"/>
          <w:lang w:val="en-GB"/>
        </w:rPr>
        <w:t>10.1093/ijlit/eaae022</w:t>
      </w:r>
      <w:r>
        <w:rPr>
          <w:color w:val="00B0F0"/>
          <w:sz w:val="20"/>
          <w:szCs w:val="20"/>
          <w:lang w:val="en-GB"/>
        </w:rPr>
        <w:t xml:space="preserve"> </w:t>
      </w:r>
      <w:r w:rsidRPr="00AF17D2">
        <w:rPr>
          <w:rFonts w:eastAsia="Times New Roman" w:cs="Times New Roman"/>
          <w:sz w:val="20"/>
          <w:szCs w:val="20"/>
          <w:lang w:val="en-GB" w:eastAsia="en-GB"/>
        </w:rPr>
        <w:t>↑</w:t>
      </w:r>
    </w:p>
    <w:p w14:paraId="40C719F0" w14:textId="2E20BBB8" w:rsidR="009135BB" w:rsidRPr="00B433E1" w:rsidRDefault="00133EE9" w:rsidP="00133EE9">
      <w:pPr>
        <w:pStyle w:val="Prrafodelista"/>
        <w:numPr>
          <w:ilvl w:val="0"/>
          <w:numId w:val="1"/>
        </w:numPr>
        <w:tabs>
          <w:tab w:val="left" w:pos="379"/>
          <w:tab w:val="left" w:pos="577"/>
        </w:tabs>
        <w:spacing w:before="107" w:line="276" w:lineRule="auto"/>
        <w:ind w:hanging="242"/>
        <w:rPr>
          <w:lang w:val="en-GB"/>
        </w:rPr>
      </w:pPr>
      <w:r w:rsidRPr="00AF17D2">
        <w:rPr>
          <w:rFonts w:eastAsia="Times New Roman" w:cs="Times New Roman"/>
          <w:sz w:val="20"/>
          <w:szCs w:val="20"/>
          <w:lang w:val="en-GB" w:eastAsia="en-GB"/>
        </w:rPr>
        <w:t xml:space="preserve">ConsenSys, </w:t>
      </w:r>
      <w:r w:rsidRPr="00AF17D2">
        <w:rPr>
          <w:rFonts w:eastAsia="Times New Roman"/>
          <w:sz w:val="20"/>
          <w:szCs w:val="20"/>
          <w:lang w:val="en-GB" w:eastAsia="en-GB"/>
        </w:rPr>
        <w:t>“</w:t>
      </w:r>
      <w:r w:rsidRPr="00AF17D2">
        <w:rPr>
          <w:rFonts w:eastAsia="Times New Roman" w:cs="Times New Roman"/>
          <w:sz w:val="20"/>
          <w:szCs w:val="20"/>
          <w:lang w:val="en-GB" w:eastAsia="en-GB"/>
        </w:rPr>
        <w:t>Smart Dubai: Blockchain case study for government in the UAE,</w:t>
      </w:r>
      <w:r w:rsidRPr="00AF17D2">
        <w:rPr>
          <w:rFonts w:eastAsia="Times New Roman"/>
          <w:sz w:val="20"/>
          <w:szCs w:val="20"/>
          <w:lang w:val="en-GB" w:eastAsia="en-GB"/>
        </w:rPr>
        <w:t>”</w:t>
      </w:r>
      <w:r w:rsidRPr="00AF17D2">
        <w:rPr>
          <w:rFonts w:eastAsia="Times New Roman" w:cs="Times New Roman"/>
          <w:sz w:val="20"/>
          <w:szCs w:val="20"/>
          <w:lang w:val="en-GB" w:eastAsia="en-GB"/>
        </w:rPr>
        <w:t xml:space="preserve"> ConsenSys, 2021. [Online]. Available: </w:t>
      </w:r>
      <w:hyperlink r:id="rId67" w:tgtFrame="_new" w:history="1">
        <w:r w:rsidRPr="00AF17D2">
          <w:rPr>
            <w:rFonts w:eastAsia="Times New Roman" w:cs="Times New Roman"/>
            <w:color w:val="00B0F0"/>
            <w:sz w:val="20"/>
            <w:szCs w:val="20"/>
            <w:u w:val="single"/>
            <w:lang w:val="en-GB" w:eastAsia="en-GB"/>
          </w:rPr>
          <w:t>https://consensys.io/blockchain-use-cases/government-and-the-public-sector/smart-dubai</w:t>
        </w:r>
      </w:hyperlink>
      <w:r w:rsidRPr="00AF17D2">
        <w:rPr>
          <w:rFonts w:eastAsia="Times New Roman" w:cs="Times New Roman"/>
          <w:sz w:val="20"/>
          <w:szCs w:val="20"/>
          <w:lang w:val="en-GB" w:eastAsia="en-GB"/>
        </w:rPr>
        <w:t xml:space="preserve"> ↑</w:t>
      </w:r>
      <w:bookmarkEnd w:id="26"/>
    </w:p>
    <w:p w14:paraId="38CE4069" w14:textId="7D6C1803" w:rsidR="00513230" w:rsidRDefault="00513230" w:rsidP="00513230">
      <w:pPr>
        <w:pStyle w:val="Prrafodelista"/>
        <w:tabs>
          <w:tab w:val="left" w:pos="379"/>
          <w:tab w:val="left" w:pos="577"/>
        </w:tabs>
        <w:spacing w:before="107" w:line="276" w:lineRule="auto"/>
        <w:ind w:firstLine="0"/>
        <w:rPr>
          <w:rFonts w:eastAsia="Times New Roman" w:cs="Times New Roman"/>
          <w:sz w:val="20"/>
          <w:szCs w:val="20"/>
          <w:lang w:val="en-GB" w:eastAsia="en-GB"/>
        </w:rPr>
      </w:pPr>
    </w:p>
    <w:p w14:paraId="4FFD2C13" w14:textId="36E21FD4" w:rsidR="00513230" w:rsidRPr="00133EE9" w:rsidRDefault="00513230" w:rsidP="00513230">
      <w:pPr>
        <w:pStyle w:val="Prrafodelista"/>
        <w:tabs>
          <w:tab w:val="left" w:pos="379"/>
          <w:tab w:val="left" w:pos="577"/>
        </w:tabs>
        <w:spacing w:before="107" w:line="276" w:lineRule="auto"/>
        <w:ind w:firstLine="0"/>
      </w:pPr>
      <w:r>
        <w:rPr>
          <w:noProof/>
        </w:rPr>
        <w:drawing>
          <wp:anchor distT="0" distB="0" distL="0" distR="0" simplePos="0" relativeHeight="251664384" behindDoc="1" locked="0" layoutInCell="1" allowOverlap="1" wp14:anchorId="505E5741" wp14:editId="07EB00B6">
            <wp:simplePos x="0" y="0"/>
            <wp:positionH relativeFrom="page">
              <wp:posOffset>3185431</wp:posOffset>
            </wp:positionH>
            <wp:positionV relativeFrom="paragraph">
              <wp:posOffset>5485765</wp:posOffset>
            </wp:positionV>
            <wp:extent cx="1200150" cy="420052"/>
            <wp:effectExtent l="0" t="0" r="0" b="0"/>
            <wp:wrapTopAndBottom/>
            <wp:docPr id="17" name="Image 17">
              <a:hlinkClick xmlns:a="http://schemas.openxmlformats.org/drawingml/2006/main" r:id="rId68"/>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a:hlinkClick r:id="rId68"/>
                    </pic:cNvPr>
                    <pic:cNvPicPr/>
                  </pic:nvPicPr>
                  <pic:blipFill>
                    <a:blip r:embed="rId69" cstate="print"/>
                    <a:stretch>
                      <a:fillRect/>
                    </a:stretch>
                  </pic:blipFill>
                  <pic:spPr>
                    <a:xfrm>
                      <a:off x="0" y="0"/>
                      <a:ext cx="1200150" cy="420052"/>
                    </a:xfrm>
                    <a:prstGeom prst="rect">
                      <a:avLst/>
                    </a:prstGeom>
                  </pic:spPr>
                </pic:pic>
              </a:graphicData>
            </a:graphic>
          </wp:anchor>
        </w:drawing>
      </w:r>
    </w:p>
    <w:sectPr w:rsidR="00513230" w:rsidRPr="00133EE9">
      <w:headerReference w:type="default" r:id="rId70"/>
      <w:footerReference w:type="default" r:id="rId71"/>
      <w:pgSz w:w="11920" w:h="16860"/>
      <w:pgMar w:top="1980" w:right="1320" w:bottom="1260" w:left="1280" w:header="1323" w:footer="107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02F328" w14:textId="77777777" w:rsidR="00445CFE" w:rsidRDefault="00445CFE">
      <w:r>
        <w:separator/>
      </w:r>
    </w:p>
  </w:endnote>
  <w:endnote w:type="continuationSeparator" w:id="0">
    <w:p w14:paraId="4554AF64" w14:textId="77777777" w:rsidR="00445CFE" w:rsidRDefault="00445C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CC17C0" w14:textId="77777777" w:rsidR="00D85CDA" w:rsidRDefault="00390084">
    <w:pPr>
      <w:pStyle w:val="Textoindependiente"/>
      <w:spacing w:line="14" w:lineRule="auto"/>
      <w:rPr>
        <w:sz w:val="20"/>
      </w:rPr>
    </w:pPr>
    <w:r>
      <w:rPr>
        <w:noProof/>
      </w:rPr>
      <mc:AlternateContent>
        <mc:Choice Requires="wps">
          <w:drawing>
            <wp:anchor distT="0" distB="0" distL="0" distR="0" simplePos="0" relativeHeight="487395328" behindDoc="1" locked="0" layoutInCell="1" allowOverlap="1" wp14:anchorId="40D9A439" wp14:editId="787DF82B">
              <wp:simplePos x="0" y="0"/>
              <wp:positionH relativeFrom="page">
                <wp:posOffset>1252791</wp:posOffset>
              </wp:positionH>
              <wp:positionV relativeFrom="page">
                <wp:posOffset>9881847</wp:posOffset>
              </wp:positionV>
              <wp:extent cx="5054600" cy="33274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54600" cy="332740"/>
                      </a:xfrm>
                      <a:prstGeom prst="rect">
                        <a:avLst/>
                      </a:prstGeom>
                    </wps:spPr>
                    <wps:txbx>
                      <w:txbxContent>
                        <w:p w14:paraId="44F6E17B" w14:textId="77777777" w:rsidR="00D85CDA" w:rsidRDefault="00390084">
                          <w:pPr>
                            <w:spacing w:before="16"/>
                            <w:ind w:left="1" w:right="1"/>
                            <w:jc w:val="center"/>
                            <w:rPr>
                              <w:sz w:val="16"/>
                            </w:rPr>
                          </w:pPr>
                          <w:r>
                            <w:rPr>
                              <w:b/>
                              <w:sz w:val="16"/>
                            </w:rPr>
                            <w:t>Tecnura</w:t>
                          </w:r>
                          <w:r>
                            <w:rPr>
                              <w:b/>
                              <w:spacing w:val="-7"/>
                              <w:sz w:val="16"/>
                            </w:rPr>
                            <w:t xml:space="preserve"> </w:t>
                          </w:r>
                          <w:r>
                            <w:rPr>
                              <w:sz w:val="16"/>
                            </w:rPr>
                            <w:t>•</w:t>
                          </w:r>
                          <w:r>
                            <w:rPr>
                              <w:spacing w:val="-7"/>
                              <w:sz w:val="16"/>
                            </w:rPr>
                            <w:t xml:space="preserve"> </w:t>
                          </w:r>
                          <w:r>
                            <w:rPr>
                              <w:sz w:val="16"/>
                            </w:rPr>
                            <w:t>p-ISSN:</w:t>
                          </w:r>
                          <w:r>
                            <w:rPr>
                              <w:spacing w:val="-6"/>
                              <w:sz w:val="16"/>
                            </w:rPr>
                            <w:t xml:space="preserve"> </w:t>
                          </w:r>
                          <w:r>
                            <w:rPr>
                              <w:sz w:val="16"/>
                            </w:rPr>
                            <w:t>0123-921X</w:t>
                          </w:r>
                          <w:r>
                            <w:rPr>
                              <w:spacing w:val="-7"/>
                              <w:sz w:val="16"/>
                            </w:rPr>
                            <w:t xml:space="preserve"> </w:t>
                          </w:r>
                          <w:r>
                            <w:rPr>
                              <w:sz w:val="16"/>
                            </w:rPr>
                            <w:t>•</w:t>
                          </w:r>
                          <w:r>
                            <w:rPr>
                              <w:spacing w:val="-6"/>
                              <w:sz w:val="16"/>
                            </w:rPr>
                            <w:t xml:space="preserve"> </w:t>
                          </w:r>
                          <w:r>
                            <w:rPr>
                              <w:sz w:val="16"/>
                            </w:rPr>
                            <w:t>e-ISSN:</w:t>
                          </w:r>
                          <w:r>
                            <w:rPr>
                              <w:spacing w:val="-7"/>
                              <w:sz w:val="16"/>
                            </w:rPr>
                            <w:t xml:space="preserve"> </w:t>
                          </w:r>
                          <w:r>
                            <w:rPr>
                              <w:sz w:val="16"/>
                            </w:rPr>
                            <w:t>2248-7638</w:t>
                          </w:r>
                          <w:r>
                            <w:rPr>
                              <w:spacing w:val="-6"/>
                              <w:sz w:val="16"/>
                            </w:rPr>
                            <w:t xml:space="preserve"> </w:t>
                          </w:r>
                          <w:r>
                            <w:rPr>
                              <w:sz w:val="16"/>
                            </w:rPr>
                            <w:t>•</w:t>
                          </w:r>
                          <w:r>
                            <w:rPr>
                              <w:spacing w:val="-7"/>
                              <w:sz w:val="16"/>
                            </w:rPr>
                            <w:t xml:space="preserve"> </w:t>
                          </w:r>
                          <w:r>
                            <w:rPr>
                              <w:sz w:val="16"/>
                            </w:rPr>
                            <w:t>Volumen</w:t>
                          </w:r>
                          <w:r>
                            <w:rPr>
                              <w:spacing w:val="-6"/>
                              <w:sz w:val="16"/>
                            </w:rPr>
                            <w:t xml:space="preserve"> </w:t>
                          </w:r>
                          <w:r>
                            <w:rPr>
                              <w:sz w:val="16"/>
                            </w:rPr>
                            <w:t>29</w:t>
                          </w:r>
                          <w:r>
                            <w:rPr>
                              <w:spacing w:val="-7"/>
                              <w:sz w:val="16"/>
                            </w:rPr>
                            <w:t xml:space="preserve"> </w:t>
                          </w:r>
                          <w:r>
                            <w:rPr>
                              <w:sz w:val="16"/>
                            </w:rPr>
                            <w:t>Número</w:t>
                          </w:r>
                          <w:r>
                            <w:rPr>
                              <w:spacing w:val="-6"/>
                              <w:sz w:val="16"/>
                            </w:rPr>
                            <w:t xml:space="preserve"> </w:t>
                          </w:r>
                          <w:r>
                            <w:rPr>
                              <w:sz w:val="16"/>
                            </w:rPr>
                            <w:t>84</w:t>
                          </w:r>
                          <w:r>
                            <w:rPr>
                              <w:spacing w:val="-7"/>
                              <w:sz w:val="16"/>
                            </w:rPr>
                            <w:t xml:space="preserve"> </w:t>
                          </w:r>
                          <w:r>
                            <w:rPr>
                              <w:sz w:val="16"/>
                            </w:rPr>
                            <w:t>•</w:t>
                          </w:r>
                          <w:r>
                            <w:rPr>
                              <w:spacing w:val="-6"/>
                              <w:sz w:val="16"/>
                            </w:rPr>
                            <w:t xml:space="preserve"> </w:t>
                          </w:r>
                          <w:r>
                            <w:rPr>
                              <w:sz w:val="16"/>
                            </w:rPr>
                            <w:t>Enero</w:t>
                          </w:r>
                          <w:r>
                            <w:rPr>
                              <w:spacing w:val="-7"/>
                              <w:sz w:val="16"/>
                            </w:rPr>
                            <w:t xml:space="preserve"> </w:t>
                          </w:r>
                          <w:r>
                            <w:rPr>
                              <w:sz w:val="16"/>
                            </w:rPr>
                            <w:t>-</w:t>
                          </w:r>
                          <w:r>
                            <w:rPr>
                              <w:spacing w:val="-7"/>
                              <w:sz w:val="16"/>
                            </w:rPr>
                            <w:t xml:space="preserve"> </w:t>
                          </w:r>
                          <w:r>
                            <w:rPr>
                              <w:sz w:val="16"/>
                            </w:rPr>
                            <w:t>Marzo</w:t>
                          </w:r>
                          <w:r>
                            <w:rPr>
                              <w:spacing w:val="-6"/>
                              <w:sz w:val="16"/>
                            </w:rPr>
                            <w:t xml:space="preserve"> </w:t>
                          </w:r>
                          <w:r>
                            <w:rPr>
                              <w:sz w:val="16"/>
                            </w:rPr>
                            <w:t>de</w:t>
                          </w:r>
                          <w:r>
                            <w:rPr>
                              <w:spacing w:val="-7"/>
                              <w:sz w:val="16"/>
                            </w:rPr>
                            <w:t xml:space="preserve"> </w:t>
                          </w:r>
                          <w:r>
                            <w:rPr>
                              <w:sz w:val="16"/>
                            </w:rPr>
                            <w:t>2025</w:t>
                          </w:r>
                          <w:r>
                            <w:rPr>
                              <w:spacing w:val="-6"/>
                              <w:sz w:val="16"/>
                            </w:rPr>
                            <w:t xml:space="preserve"> </w:t>
                          </w:r>
                          <w:r>
                            <w:rPr>
                              <w:sz w:val="16"/>
                            </w:rPr>
                            <w:t>•</w:t>
                          </w:r>
                          <w:r>
                            <w:rPr>
                              <w:spacing w:val="-7"/>
                              <w:sz w:val="16"/>
                            </w:rPr>
                            <w:t xml:space="preserve"> </w:t>
                          </w:r>
                          <w:r>
                            <w:rPr>
                              <w:sz w:val="16"/>
                            </w:rPr>
                            <w:t>pp.</w:t>
                          </w:r>
                          <w:r>
                            <w:rPr>
                              <w:spacing w:val="2"/>
                              <w:sz w:val="16"/>
                            </w:rPr>
                            <w:t xml:space="preserve"> </w:t>
                          </w:r>
                          <w:r>
                            <w:rPr>
                              <w:sz w:val="16"/>
                            </w:rPr>
                            <w:t>xx-</w:t>
                          </w:r>
                          <w:r>
                            <w:rPr>
                              <w:spacing w:val="-5"/>
                              <w:sz w:val="16"/>
                            </w:rPr>
                            <w:t>xx</w:t>
                          </w:r>
                        </w:p>
                        <w:p w14:paraId="4E3503B9" w14:textId="77777777" w:rsidR="00D85CDA" w:rsidRDefault="00390084">
                          <w:pPr>
                            <w:pStyle w:val="Textoindependiente"/>
                            <w:spacing w:before="15"/>
                            <w:ind w:right="1"/>
                            <w:jc w:val="center"/>
                          </w:pPr>
                          <w:r>
                            <w:rPr>
                              <w:spacing w:val="-5"/>
                            </w:rPr>
                            <w:t>[</w:t>
                          </w:r>
                          <w:r>
                            <w:rPr>
                              <w:spacing w:val="-5"/>
                            </w:rPr>
                            <w:fldChar w:fldCharType="begin"/>
                          </w:r>
                          <w:r>
                            <w:rPr>
                              <w:spacing w:val="-5"/>
                            </w:rPr>
                            <w:instrText xml:space="preserve"> PAGE </w:instrText>
                          </w:r>
                          <w:r>
                            <w:rPr>
                              <w:spacing w:val="-5"/>
                            </w:rPr>
                            <w:fldChar w:fldCharType="separate"/>
                          </w:r>
                          <w:r>
                            <w:rPr>
                              <w:spacing w:val="-5"/>
                            </w:rPr>
                            <w:t>1</w:t>
                          </w:r>
                          <w:r>
                            <w:rPr>
                              <w:spacing w:val="-5"/>
                            </w:rPr>
                            <w:fldChar w:fldCharType="end"/>
                          </w:r>
                          <w:r>
                            <w:rPr>
                              <w:spacing w:val="-5"/>
                            </w:rPr>
                            <w:t>]</w:t>
                          </w:r>
                        </w:p>
                      </w:txbxContent>
                    </wps:txbx>
                    <wps:bodyPr wrap="square" lIns="0" tIns="0" rIns="0" bIns="0" rtlCol="0">
                      <a:noAutofit/>
                    </wps:bodyPr>
                  </wps:wsp>
                </a:graphicData>
              </a:graphic>
            </wp:anchor>
          </w:drawing>
        </mc:Choice>
        <mc:Fallback>
          <w:pict>
            <v:shapetype w14:anchorId="40D9A439" id="_x0000_t202" coordsize="21600,21600" o:spt="202" path="m,l,21600r21600,l21600,xe">
              <v:stroke joinstyle="miter"/>
              <v:path gradientshapeok="t" o:connecttype="rect"/>
            </v:shapetype>
            <v:shape id="Textbox 1" o:spid="_x0000_s1029" type="#_x0000_t202" style="position:absolute;margin-left:98.65pt;margin-top:778.1pt;width:398pt;height:26.2pt;z-index:-15921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" filled="f" stroked="f">
              <v:textbox inset="0,0,0,0">
                <w:txbxContent>
                  <w:p w14:paraId="44F6E17B" w14:textId="77777777" w:rsidR="00D85CDA" w:rsidRDefault="00390084">
                    <w:pPr>
                      <w:spacing w:before="16"/>
                      <w:ind w:left="1" w:right="1"/>
                      <w:jc w:val="center"/>
                      <w:rPr>
                        <w:sz w:val="16"/>
                      </w:rPr>
                    </w:pPr>
                    <w:r>
                      <w:rPr>
                        <w:b/>
                        <w:sz w:val="16"/>
                      </w:rPr>
                      <w:t>Tecnura</w:t>
                    </w:r>
                    <w:r>
                      <w:rPr>
                        <w:b/>
                        <w:spacing w:val="-7"/>
                        <w:sz w:val="16"/>
                      </w:rPr>
                      <w:t xml:space="preserve"> </w:t>
                    </w:r>
                    <w:r>
                      <w:rPr>
                        <w:sz w:val="16"/>
                      </w:rPr>
                      <w:t>•</w:t>
                    </w:r>
                    <w:r>
                      <w:rPr>
                        <w:spacing w:val="-7"/>
                        <w:sz w:val="16"/>
                      </w:rPr>
                      <w:t xml:space="preserve"> </w:t>
                    </w:r>
                    <w:r>
                      <w:rPr>
                        <w:sz w:val="16"/>
                      </w:rPr>
                      <w:t>p-ISSN:</w:t>
                    </w:r>
                    <w:r>
                      <w:rPr>
                        <w:spacing w:val="-6"/>
                        <w:sz w:val="16"/>
                      </w:rPr>
                      <w:t xml:space="preserve"> </w:t>
                    </w:r>
                    <w:r>
                      <w:rPr>
                        <w:sz w:val="16"/>
                      </w:rPr>
                      <w:t>0123-921X</w:t>
                    </w:r>
                    <w:r>
                      <w:rPr>
                        <w:spacing w:val="-7"/>
                        <w:sz w:val="16"/>
                      </w:rPr>
                      <w:t xml:space="preserve"> </w:t>
                    </w:r>
                    <w:r>
                      <w:rPr>
                        <w:sz w:val="16"/>
                      </w:rPr>
                      <w:t>•</w:t>
                    </w:r>
                    <w:r>
                      <w:rPr>
                        <w:spacing w:val="-6"/>
                        <w:sz w:val="16"/>
                      </w:rPr>
                      <w:t xml:space="preserve"> </w:t>
                    </w:r>
                    <w:r>
                      <w:rPr>
                        <w:sz w:val="16"/>
                      </w:rPr>
                      <w:t>e-ISSN:</w:t>
                    </w:r>
                    <w:r>
                      <w:rPr>
                        <w:spacing w:val="-7"/>
                        <w:sz w:val="16"/>
                      </w:rPr>
                      <w:t xml:space="preserve"> </w:t>
                    </w:r>
                    <w:r>
                      <w:rPr>
                        <w:sz w:val="16"/>
                      </w:rPr>
                      <w:t>2248-7638</w:t>
                    </w:r>
                    <w:r>
                      <w:rPr>
                        <w:spacing w:val="-6"/>
                        <w:sz w:val="16"/>
                      </w:rPr>
                      <w:t xml:space="preserve"> </w:t>
                    </w:r>
                    <w:r>
                      <w:rPr>
                        <w:sz w:val="16"/>
                      </w:rPr>
                      <w:t>•</w:t>
                    </w:r>
                    <w:r>
                      <w:rPr>
                        <w:spacing w:val="-7"/>
                        <w:sz w:val="16"/>
                      </w:rPr>
                      <w:t xml:space="preserve"> </w:t>
                    </w:r>
                    <w:r>
                      <w:rPr>
                        <w:sz w:val="16"/>
                      </w:rPr>
                      <w:t>Volumen</w:t>
                    </w:r>
                    <w:r>
                      <w:rPr>
                        <w:spacing w:val="-6"/>
                        <w:sz w:val="16"/>
                      </w:rPr>
                      <w:t xml:space="preserve"> </w:t>
                    </w:r>
                    <w:r>
                      <w:rPr>
                        <w:sz w:val="16"/>
                      </w:rPr>
                      <w:t>29</w:t>
                    </w:r>
                    <w:r>
                      <w:rPr>
                        <w:spacing w:val="-7"/>
                        <w:sz w:val="16"/>
                      </w:rPr>
                      <w:t xml:space="preserve"> </w:t>
                    </w:r>
                    <w:r>
                      <w:rPr>
                        <w:sz w:val="16"/>
                      </w:rPr>
                      <w:t>Número</w:t>
                    </w:r>
                    <w:r>
                      <w:rPr>
                        <w:spacing w:val="-6"/>
                        <w:sz w:val="16"/>
                      </w:rPr>
                      <w:t xml:space="preserve"> </w:t>
                    </w:r>
                    <w:r>
                      <w:rPr>
                        <w:sz w:val="16"/>
                      </w:rPr>
                      <w:t>84</w:t>
                    </w:r>
                    <w:r>
                      <w:rPr>
                        <w:spacing w:val="-7"/>
                        <w:sz w:val="16"/>
                      </w:rPr>
                      <w:t xml:space="preserve"> </w:t>
                    </w:r>
                    <w:r>
                      <w:rPr>
                        <w:sz w:val="16"/>
                      </w:rPr>
                      <w:t>•</w:t>
                    </w:r>
                    <w:r>
                      <w:rPr>
                        <w:spacing w:val="-6"/>
                        <w:sz w:val="16"/>
                      </w:rPr>
                      <w:t xml:space="preserve"> </w:t>
                    </w:r>
                    <w:r>
                      <w:rPr>
                        <w:sz w:val="16"/>
                      </w:rPr>
                      <w:t>Enero</w:t>
                    </w:r>
                    <w:r>
                      <w:rPr>
                        <w:spacing w:val="-7"/>
                        <w:sz w:val="16"/>
                      </w:rPr>
                      <w:t xml:space="preserve"> </w:t>
                    </w:r>
                    <w:r>
                      <w:rPr>
                        <w:sz w:val="16"/>
                      </w:rPr>
                      <w:t>-</w:t>
                    </w:r>
                    <w:r>
                      <w:rPr>
                        <w:spacing w:val="-7"/>
                        <w:sz w:val="16"/>
                      </w:rPr>
                      <w:t xml:space="preserve"> </w:t>
                    </w:r>
                    <w:r>
                      <w:rPr>
                        <w:sz w:val="16"/>
                      </w:rPr>
                      <w:t>Marzo</w:t>
                    </w:r>
                    <w:r>
                      <w:rPr>
                        <w:spacing w:val="-6"/>
                        <w:sz w:val="16"/>
                      </w:rPr>
                      <w:t xml:space="preserve"> </w:t>
                    </w:r>
                    <w:r>
                      <w:rPr>
                        <w:sz w:val="16"/>
                      </w:rPr>
                      <w:t>de</w:t>
                    </w:r>
                    <w:r>
                      <w:rPr>
                        <w:spacing w:val="-7"/>
                        <w:sz w:val="16"/>
                      </w:rPr>
                      <w:t xml:space="preserve"> </w:t>
                    </w:r>
                    <w:r>
                      <w:rPr>
                        <w:sz w:val="16"/>
                      </w:rPr>
                      <w:t>2025</w:t>
                    </w:r>
                    <w:r>
                      <w:rPr>
                        <w:spacing w:val="-6"/>
                        <w:sz w:val="16"/>
                      </w:rPr>
                      <w:t xml:space="preserve"> </w:t>
                    </w:r>
                    <w:r>
                      <w:rPr>
                        <w:sz w:val="16"/>
                      </w:rPr>
                      <w:t>•</w:t>
                    </w:r>
                    <w:r>
                      <w:rPr>
                        <w:spacing w:val="-7"/>
                        <w:sz w:val="16"/>
                      </w:rPr>
                      <w:t xml:space="preserve"> </w:t>
                    </w:r>
                    <w:r>
                      <w:rPr>
                        <w:sz w:val="16"/>
                      </w:rPr>
                      <w:t>pp.</w:t>
                    </w:r>
                    <w:r>
                      <w:rPr>
                        <w:spacing w:val="2"/>
                        <w:sz w:val="16"/>
                      </w:rPr>
                      <w:t xml:space="preserve"> </w:t>
                    </w:r>
                    <w:r>
                      <w:rPr>
                        <w:sz w:val="16"/>
                      </w:rPr>
                      <w:t>xx-</w:t>
                    </w:r>
                    <w:r>
                      <w:rPr>
                        <w:spacing w:val="-5"/>
                        <w:sz w:val="16"/>
                      </w:rPr>
                      <w:t>xx</w:t>
                    </w:r>
                  </w:p>
                  <w:p w14:paraId="4E3503B9" w14:textId="77777777" w:rsidR="00D85CDA" w:rsidRDefault="00390084">
                    <w:pPr>
                      <w:pStyle w:val="Textoindependiente"/>
                      <w:spacing w:before="15"/>
                      <w:ind w:right="1"/>
                      <w:jc w:val="center"/>
                    </w:pPr>
                    <w:r>
                      <w:rPr>
                        <w:spacing w:val="-5"/>
                      </w:rPr>
                      <w:t>[</w:t>
                    </w:r>
                    <w:r>
                      <w:rPr>
                        <w:spacing w:val="-5"/>
                      </w:rPr>
                      <w:fldChar w:fldCharType="begin"/>
                    </w:r>
                    <w:r>
                      <w:rPr>
                        <w:spacing w:val="-5"/>
                      </w:rPr>
                      <w:instrText xml:space="preserve"> PAGE </w:instrText>
                    </w:r>
                    <w:r>
                      <w:rPr>
                        <w:spacing w:val="-5"/>
                      </w:rPr>
                      <w:fldChar w:fldCharType="separate"/>
                    </w:r>
                    <w:r>
                      <w:rPr>
                        <w:spacing w:val="-5"/>
                      </w:rPr>
                      <w:t>1</w:t>
                    </w:r>
                    <w:r>
                      <w:rPr>
                        <w:spacing w:val="-5"/>
                      </w:rPr>
                      <w:fldChar w:fldCharType="end"/>
                    </w:r>
                    <w:r>
                      <w:rPr>
                        <w:spacing w:val="-5"/>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5E77B5" w14:textId="77777777" w:rsidR="00D85CDA" w:rsidRDefault="00390084">
    <w:pPr>
      <w:pStyle w:val="Textoindependiente"/>
      <w:spacing w:line="14" w:lineRule="auto"/>
      <w:rPr>
        <w:sz w:val="20"/>
      </w:rPr>
    </w:pPr>
    <w:r>
      <w:rPr>
        <w:noProof/>
      </w:rPr>
      <mc:AlternateContent>
        <mc:Choice Requires="wps">
          <w:drawing>
            <wp:anchor distT="0" distB="0" distL="0" distR="0" simplePos="0" relativeHeight="251666432" behindDoc="1" locked="0" layoutInCell="1" allowOverlap="1" wp14:anchorId="00F6E05D" wp14:editId="1A0A0476">
              <wp:simplePos x="0" y="0"/>
              <wp:positionH relativeFrom="page">
                <wp:posOffset>1252791</wp:posOffset>
              </wp:positionH>
              <wp:positionV relativeFrom="page">
                <wp:posOffset>9881847</wp:posOffset>
              </wp:positionV>
              <wp:extent cx="5054600" cy="33274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54600" cy="332740"/>
                      </a:xfrm>
                      <a:prstGeom prst="rect">
                        <a:avLst/>
                      </a:prstGeom>
                    </wps:spPr>
                    <wps:txbx>
                      <w:txbxContent>
                        <w:p w14:paraId="31FE344E" w14:textId="7902AF07" w:rsidR="00D85CDA" w:rsidRDefault="00390084">
                          <w:pPr>
                            <w:spacing w:before="16"/>
                            <w:ind w:left="1" w:right="1"/>
                            <w:jc w:val="center"/>
                            <w:rPr>
                              <w:sz w:val="16"/>
                            </w:rPr>
                          </w:pPr>
                          <w:r>
                            <w:rPr>
                              <w:b/>
                              <w:sz w:val="16"/>
                            </w:rPr>
                            <w:t>Tecnura</w:t>
                          </w:r>
                          <w:r>
                            <w:rPr>
                              <w:b/>
                              <w:spacing w:val="-7"/>
                              <w:sz w:val="16"/>
                            </w:rPr>
                            <w:t xml:space="preserve"> </w:t>
                          </w:r>
                          <w:r>
                            <w:rPr>
                              <w:sz w:val="16"/>
                            </w:rPr>
                            <w:t>•</w:t>
                          </w:r>
                          <w:r>
                            <w:rPr>
                              <w:spacing w:val="-7"/>
                              <w:sz w:val="16"/>
                            </w:rPr>
                            <w:t xml:space="preserve"> </w:t>
                          </w:r>
                          <w:r>
                            <w:rPr>
                              <w:sz w:val="16"/>
                            </w:rPr>
                            <w:t>p-ISSN:</w:t>
                          </w:r>
                          <w:r>
                            <w:rPr>
                              <w:spacing w:val="-6"/>
                              <w:sz w:val="16"/>
                            </w:rPr>
                            <w:t xml:space="preserve"> </w:t>
                          </w:r>
                          <w:r>
                            <w:rPr>
                              <w:sz w:val="16"/>
                            </w:rPr>
                            <w:t>0123-921X</w:t>
                          </w:r>
                          <w:r>
                            <w:rPr>
                              <w:spacing w:val="-7"/>
                              <w:sz w:val="16"/>
                            </w:rPr>
                            <w:t xml:space="preserve"> </w:t>
                          </w:r>
                          <w:r>
                            <w:rPr>
                              <w:sz w:val="16"/>
                            </w:rPr>
                            <w:t>•</w:t>
                          </w:r>
                          <w:r>
                            <w:rPr>
                              <w:spacing w:val="-6"/>
                              <w:sz w:val="16"/>
                            </w:rPr>
                            <w:t xml:space="preserve"> </w:t>
                          </w:r>
                          <w:r>
                            <w:rPr>
                              <w:sz w:val="16"/>
                            </w:rPr>
                            <w:t>e-ISSN:</w:t>
                          </w:r>
                          <w:r>
                            <w:rPr>
                              <w:spacing w:val="-7"/>
                              <w:sz w:val="16"/>
                            </w:rPr>
                            <w:t xml:space="preserve"> </w:t>
                          </w:r>
                          <w:r>
                            <w:rPr>
                              <w:sz w:val="16"/>
                            </w:rPr>
                            <w:t>2248-7638</w:t>
                          </w:r>
                          <w:r>
                            <w:rPr>
                              <w:spacing w:val="-6"/>
                              <w:sz w:val="16"/>
                            </w:rPr>
                            <w:t xml:space="preserve"> </w:t>
                          </w:r>
                          <w:r>
                            <w:rPr>
                              <w:sz w:val="16"/>
                            </w:rPr>
                            <w:t>•</w:t>
                          </w:r>
                          <w:r>
                            <w:rPr>
                              <w:spacing w:val="-7"/>
                              <w:sz w:val="16"/>
                            </w:rPr>
                            <w:t xml:space="preserve"> </w:t>
                          </w:r>
                          <w:r>
                            <w:rPr>
                              <w:sz w:val="16"/>
                            </w:rPr>
                            <w:t>Volumen</w:t>
                          </w:r>
                          <w:r>
                            <w:rPr>
                              <w:spacing w:val="-6"/>
                              <w:sz w:val="16"/>
                            </w:rPr>
                            <w:t xml:space="preserve"> </w:t>
                          </w:r>
                          <w:r>
                            <w:rPr>
                              <w:sz w:val="16"/>
                            </w:rPr>
                            <w:t>29</w:t>
                          </w:r>
                          <w:r>
                            <w:rPr>
                              <w:spacing w:val="-7"/>
                              <w:sz w:val="16"/>
                            </w:rPr>
                            <w:t xml:space="preserve"> </w:t>
                          </w:r>
                          <w:r>
                            <w:rPr>
                              <w:sz w:val="16"/>
                            </w:rPr>
                            <w:t>Número</w:t>
                          </w:r>
                          <w:r>
                            <w:rPr>
                              <w:spacing w:val="-6"/>
                              <w:sz w:val="16"/>
                            </w:rPr>
                            <w:t xml:space="preserve"> </w:t>
                          </w:r>
                          <w:r>
                            <w:rPr>
                              <w:sz w:val="16"/>
                            </w:rPr>
                            <w:t>84</w:t>
                          </w:r>
                          <w:r>
                            <w:rPr>
                              <w:spacing w:val="-7"/>
                              <w:sz w:val="16"/>
                            </w:rPr>
                            <w:t xml:space="preserve"> </w:t>
                          </w:r>
                          <w:r>
                            <w:rPr>
                              <w:sz w:val="16"/>
                            </w:rPr>
                            <w:t>•</w:t>
                          </w:r>
                          <w:r>
                            <w:rPr>
                              <w:spacing w:val="-6"/>
                              <w:sz w:val="16"/>
                            </w:rPr>
                            <w:t xml:space="preserve"> </w:t>
                          </w:r>
                          <w:r>
                            <w:rPr>
                              <w:sz w:val="16"/>
                            </w:rPr>
                            <w:t>Enero</w:t>
                          </w:r>
                          <w:r>
                            <w:rPr>
                              <w:spacing w:val="-7"/>
                              <w:sz w:val="16"/>
                            </w:rPr>
                            <w:t xml:space="preserve"> </w:t>
                          </w:r>
                          <w:r>
                            <w:rPr>
                              <w:sz w:val="16"/>
                            </w:rPr>
                            <w:t>-</w:t>
                          </w:r>
                          <w:r>
                            <w:rPr>
                              <w:spacing w:val="-7"/>
                              <w:sz w:val="16"/>
                            </w:rPr>
                            <w:t xml:space="preserve"> </w:t>
                          </w:r>
                          <w:r w:rsidR="001B4E19">
                            <w:rPr>
                              <w:sz w:val="16"/>
                            </w:rPr>
                            <w:t>marzo</w:t>
                          </w:r>
                          <w:r>
                            <w:rPr>
                              <w:spacing w:val="-6"/>
                              <w:sz w:val="16"/>
                            </w:rPr>
                            <w:t xml:space="preserve"> </w:t>
                          </w:r>
                          <w:r>
                            <w:rPr>
                              <w:sz w:val="16"/>
                            </w:rPr>
                            <w:t>de</w:t>
                          </w:r>
                          <w:r>
                            <w:rPr>
                              <w:spacing w:val="-7"/>
                              <w:sz w:val="16"/>
                            </w:rPr>
                            <w:t xml:space="preserve"> </w:t>
                          </w:r>
                          <w:r>
                            <w:rPr>
                              <w:sz w:val="16"/>
                            </w:rPr>
                            <w:t>2025</w:t>
                          </w:r>
                          <w:r>
                            <w:rPr>
                              <w:spacing w:val="-6"/>
                              <w:sz w:val="16"/>
                            </w:rPr>
                            <w:t xml:space="preserve"> </w:t>
                          </w:r>
                          <w:r>
                            <w:rPr>
                              <w:sz w:val="16"/>
                            </w:rPr>
                            <w:t>•</w:t>
                          </w:r>
                          <w:r>
                            <w:rPr>
                              <w:spacing w:val="-7"/>
                              <w:sz w:val="16"/>
                            </w:rPr>
                            <w:t xml:space="preserve"> </w:t>
                          </w:r>
                          <w:r>
                            <w:rPr>
                              <w:sz w:val="16"/>
                            </w:rPr>
                            <w:t>pp.</w:t>
                          </w:r>
                          <w:r>
                            <w:rPr>
                              <w:spacing w:val="2"/>
                              <w:sz w:val="16"/>
                            </w:rPr>
                            <w:t xml:space="preserve"> </w:t>
                          </w:r>
                          <w:r>
                            <w:rPr>
                              <w:sz w:val="16"/>
                            </w:rPr>
                            <w:t>xx-</w:t>
                          </w:r>
                          <w:r>
                            <w:rPr>
                              <w:spacing w:val="-5"/>
                              <w:sz w:val="16"/>
                            </w:rPr>
                            <w:t>xx</w:t>
                          </w:r>
                        </w:p>
                        <w:p w14:paraId="00296EA1" w14:textId="77777777" w:rsidR="00D85CDA" w:rsidRDefault="00390084">
                          <w:pPr>
                            <w:pStyle w:val="Textoindependiente"/>
                            <w:spacing w:before="15"/>
                            <w:ind w:right="1"/>
                            <w:jc w:val="center"/>
                          </w:pPr>
                          <w:r>
                            <w:rPr>
                              <w:spacing w:val="-5"/>
                            </w:rPr>
                            <w:t>[</w:t>
                          </w:r>
                          <w:r>
                            <w:rPr>
                              <w:spacing w:val="-5"/>
                            </w:rPr>
                            <w:fldChar w:fldCharType="begin"/>
                          </w:r>
                          <w:r>
                            <w:rPr>
                              <w:spacing w:val="-5"/>
                            </w:rPr>
                            <w:instrText xml:space="preserve"> PAGE </w:instrText>
                          </w:r>
                          <w:r>
                            <w:rPr>
                              <w:spacing w:val="-5"/>
                            </w:rPr>
                            <w:fldChar w:fldCharType="separate"/>
                          </w:r>
                          <w:r>
                            <w:rPr>
                              <w:spacing w:val="-5"/>
                            </w:rPr>
                            <w:t>2</w:t>
                          </w:r>
                          <w:r>
                            <w:rPr>
                              <w:spacing w:val="-5"/>
                            </w:rPr>
                            <w:fldChar w:fldCharType="end"/>
                          </w:r>
                          <w:r>
                            <w:rPr>
                              <w:spacing w:val="-5"/>
                            </w:rPr>
                            <w:t>]</w:t>
                          </w:r>
                        </w:p>
                      </w:txbxContent>
                    </wps:txbx>
                    <wps:bodyPr wrap="square" lIns="0" tIns="0" rIns="0" bIns="0" rtlCol="0">
                      <a:noAutofit/>
                    </wps:bodyPr>
                  </wps:wsp>
                </a:graphicData>
              </a:graphic>
            </wp:anchor>
          </w:drawing>
        </mc:Choice>
        <mc:Fallback>
          <w:pict>
            <v:shapetype w14:anchorId="00F6E05D" id="_x0000_t202" coordsize="21600,21600" o:spt="202" path="m,l,21600r21600,l21600,xe">
              <v:stroke joinstyle="miter"/>
              <v:path gradientshapeok="t" o:connecttype="rect"/>
            </v:shapetype>
            <v:shape id="Textbox 15" o:spid="_x0000_s1031" type="#_x0000_t202" style="position:absolute;margin-left:98.65pt;margin-top:778.1pt;width:398pt;height:26.2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" filled="f" stroked="f">
              <v:textbox inset="0,0,0,0">
                <w:txbxContent>
                  <w:p w14:paraId="31FE344E" w14:textId="7902AF07" w:rsidR="00D85CDA" w:rsidRDefault="00390084">
                    <w:pPr>
                      <w:spacing w:before="16"/>
                      <w:ind w:left="1" w:right="1"/>
                      <w:jc w:val="center"/>
                      <w:rPr>
                        <w:sz w:val="16"/>
                      </w:rPr>
                    </w:pPr>
                    <w:r>
                      <w:rPr>
                        <w:b/>
                        <w:sz w:val="16"/>
                      </w:rPr>
                      <w:t>Tecnura</w:t>
                    </w:r>
                    <w:r>
                      <w:rPr>
                        <w:b/>
                        <w:spacing w:val="-7"/>
                        <w:sz w:val="16"/>
                      </w:rPr>
                      <w:t xml:space="preserve"> </w:t>
                    </w:r>
                    <w:r>
                      <w:rPr>
                        <w:sz w:val="16"/>
                      </w:rPr>
                      <w:t>•</w:t>
                    </w:r>
                    <w:r>
                      <w:rPr>
                        <w:spacing w:val="-7"/>
                        <w:sz w:val="16"/>
                      </w:rPr>
                      <w:t xml:space="preserve"> </w:t>
                    </w:r>
                    <w:r>
                      <w:rPr>
                        <w:sz w:val="16"/>
                      </w:rPr>
                      <w:t>p-ISSN:</w:t>
                    </w:r>
                    <w:r>
                      <w:rPr>
                        <w:spacing w:val="-6"/>
                        <w:sz w:val="16"/>
                      </w:rPr>
                      <w:t xml:space="preserve"> </w:t>
                    </w:r>
                    <w:r>
                      <w:rPr>
                        <w:sz w:val="16"/>
                      </w:rPr>
                      <w:t>0123-921X</w:t>
                    </w:r>
                    <w:r>
                      <w:rPr>
                        <w:spacing w:val="-7"/>
                        <w:sz w:val="16"/>
                      </w:rPr>
                      <w:t xml:space="preserve"> </w:t>
                    </w:r>
                    <w:r>
                      <w:rPr>
                        <w:sz w:val="16"/>
                      </w:rPr>
                      <w:t>•</w:t>
                    </w:r>
                    <w:r>
                      <w:rPr>
                        <w:spacing w:val="-6"/>
                        <w:sz w:val="16"/>
                      </w:rPr>
                      <w:t xml:space="preserve"> </w:t>
                    </w:r>
                    <w:r>
                      <w:rPr>
                        <w:sz w:val="16"/>
                      </w:rPr>
                      <w:t>e-ISSN:</w:t>
                    </w:r>
                    <w:r>
                      <w:rPr>
                        <w:spacing w:val="-7"/>
                        <w:sz w:val="16"/>
                      </w:rPr>
                      <w:t xml:space="preserve"> </w:t>
                    </w:r>
                    <w:r>
                      <w:rPr>
                        <w:sz w:val="16"/>
                      </w:rPr>
                      <w:t>2248-7638</w:t>
                    </w:r>
                    <w:r>
                      <w:rPr>
                        <w:spacing w:val="-6"/>
                        <w:sz w:val="16"/>
                      </w:rPr>
                      <w:t xml:space="preserve"> </w:t>
                    </w:r>
                    <w:r>
                      <w:rPr>
                        <w:sz w:val="16"/>
                      </w:rPr>
                      <w:t>•</w:t>
                    </w:r>
                    <w:r>
                      <w:rPr>
                        <w:spacing w:val="-7"/>
                        <w:sz w:val="16"/>
                      </w:rPr>
                      <w:t xml:space="preserve"> </w:t>
                    </w:r>
                    <w:r>
                      <w:rPr>
                        <w:sz w:val="16"/>
                      </w:rPr>
                      <w:t>Volumen</w:t>
                    </w:r>
                    <w:r>
                      <w:rPr>
                        <w:spacing w:val="-6"/>
                        <w:sz w:val="16"/>
                      </w:rPr>
                      <w:t xml:space="preserve"> </w:t>
                    </w:r>
                    <w:r>
                      <w:rPr>
                        <w:sz w:val="16"/>
                      </w:rPr>
                      <w:t>29</w:t>
                    </w:r>
                    <w:r>
                      <w:rPr>
                        <w:spacing w:val="-7"/>
                        <w:sz w:val="16"/>
                      </w:rPr>
                      <w:t xml:space="preserve"> </w:t>
                    </w:r>
                    <w:r>
                      <w:rPr>
                        <w:sz w:val="16"/>
                      </w:rPr>
                      <w:t>Número</w:t>
                    </w:r>
                    <w:r>
                      <w:rPr>
                        <w:spacing w:val="-6"/>
                        <w:sz w:val="16"/>
                      </w:rPr>
                      <w:t xml:space="preserve"> </w:t>
                    </w:r>
                    <w:r>
                      <w:rPr>
                        <w:sz w:val="16"/>
                      </w:rPr>
                      <w:t>84</w:t>
                    </w:r>
                    <w:r>
                      <w:rPr>
                        <w:spacing w:val="-7"/>
                        <w:sz w:val="16"/>
                      </w:rPr>
                      <w:t xml:space="preserve"> </w:t>
                    </w:r>
                    <w:r>
                      <w:rPr>
                        <w:sz w:val="16"/>
                      </w:rPr>
                      <w:t>•</w:t>
                    </w:r>
                    <w:r>
                      <w:rPr>
                        <w:spacing w:val="-6"/>
                        <w:sz w:val="16"/>
                      </w:rPr>
                      <w:t xml:space="preserve"> </w:t>
                    </w:r>
                    <w:r>
                      <w:rPr>
                        <w:sz w:val="16"/>
                      </w:rPr>
                      <w:t>Enero</w:t>
                    </w:r>
                    <w:r>
                      <w:rPr>
                        <w:spacing w:val="-7"/>
                        <w:sz w:val="16"/>
                      </w:rPr>
                      <w:t xml:space="preserve"> </w:t>
                    </w:r>
                    <w:r>
                      <w:rPr>
                        <w:sz w:val="16"/>
                      </w:rPr>
                      <w:t>-</w:t>
                    </w:r>
                    <w:r>
                      <w:rPr>
                        <w:spacing w:val="-7"/>
                        <w:sz w:val="16"/>
                      </w:rPr>
                      <w:t xml:space="preserve"> </w:t>
                    </w:r>
                    <w:r w:rsidR="001B4E19">
                      <w:rPr>
                        <w:sz w:val="16"/>
                      </w:rPr>
                      <w:t>marzo</w:t>
                    </w:r>
                    <w:r>
                      <w:rPr>
                        <w:spacing w:val="-6"/>
                        <w:sz w:val="16"/>
                      </w:rPr>
                      <w:t xml:space="preserve"> </w:t>
                    </w:r>
                    <w:r>
                      <w:rPr>
                        <w:sz w:val="16"/>
                      </w:rPr>
                      <w:t>de</w:t>
                    </w:r>
                    <w:r>
                      <w:rPr>
                        <w:spacing w:val="-7"/>
                        <w:sz w:val="16"/>
                      </w:rPr>
                      <w:t xml:space="preserve"> </w:t>
                    </w:r>
                    <w:r>
                      <w:rPr>
                        <w:sz w:val="16"/>
                      </w:rPr>
                      <w:t>2025</w:t>
                    </w:r>
                    <w:r>
                      <w:rPr>
                        <w:spacing w:val="-6"/>
                        <w:sz w:val="16"/>
                      </w:rPr>
                      <w:t xml:space="preserve"> </w:t>
                    </w:r>
                    <w:r>
                      <w:rPr>
                        <w:sz w:val="16"/>
                      </w:rPr>
                      <w:t>•</w:t>
                    </w:r>
                    <w:r>
                      <w:rPr>
                        <w:spacing w:val="-7"/>
                        <w:sz w:val="16"/>
                      </w:rPr>
                      <w:t xml:space="preserve"> </w:t>
                    </w:r>
                    <w:r>
                      <w:rPr>
                        <w:sz w:val="16"/>
                      </w:rPr>
                      <w:t>pp.</w:t>
                    </w:r>
                    <w:r>
                      <w:rPr>
                        <w:spacing w:val="2"/>
                        <w:sz w:val="16"/>
                      </w:rPr>
                      <w:t xml:space="preserve"> </w:t>
                    </w:r>
                    <w:r>
                      <w:rPr>
                        <w:sz w:val="16"/>
                      </w:rPr>
                      <w:t>xx-</w:t>
                    </w:r>
                    <w:r>
                      <w:rPr>
                        <w:spacing w:val="-5"/>
                        <w:sz w:val="16"/>
                      </w:rPr>
                      <w:t>xx</w:t>
                    </w:r>
                  </w:p>
                  <w:p w14:paraId="00296EA1" w14:textId="77777777" w:rsidR="00D85CDA" w:rsidRDefault="00390084">
                    <w:pPr>
                      <w:pStyle w:val="Textoindependiente"/>
                      <w:spacing w:before="15"/>
                      <w:ind w:right="1"/>
                      <w:jc w:val="center"/>
                    </w:pPr>
                    <w:r>
                      <w:rPr>
                        <w:spacing w:val="-5"/>
                      </w:rPr>
                      <w:t>[</w:t>
                    </w:r>
                    <w:r>
                      <w:rPr>
                        <w:spacing w:val="-5"/>
                      </w:rPr>
                      <w:fldChar w:fldCharType="begin"/>
                    </w:r>
                    <w:r>
                      <w:rPr>
                        <w:spacing w:val="-5"/>
                      </w:rPr>
                      <w:instrText xml:space="preserve"> PAGE </w:instrText>
                    </w:r>
                    <w:r>
                      <w:rPr>
                        <w:spacing w:val="-5"/>
                      </w:rPr>
                      <w:fldChar w:fldCharType="separate"/>
                    </w:r>
                    <w:r>
                      <w:rPr>
                        <w:spacing w:val="-5"/>
                      </w:rPr>
                      <w:t>2</w:t>
                    </w:r>
                    <w:r>
                      <w:rPr>
                        <w:spacing w:val="-5"/>
                      </w:rPr>
                      <w:fldChar w:fldCharType="end"/>
                    </w:r>
                    <w:r>
                      <w:rPr>
                        <w:spacing w:val="-5"/>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3F9475" w14:textId="77777777" w:rsidR="00445CFE" w:rsidRDefault="00445CFE">
      <w:r>
        <w:separator/>
      </w:r>
    </w:p>
  </w:footnote>
  <w:footnote w:type="continuationSeparator" w:id="0">
    <w:p w14:paraId="43C29377" w14:textId="77777777" w:rsidR="00445CFE" w:rsidRDefault="00445C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CDAD3" w14:textId="0FD17EAE" w:rsidR="00D85CDA" w:rsidRDefault="00CF165B">
    <w:pPr>
      <w:pStyle w:val="Textoindependiente"/>
      <w:spacing w:line="14" w:lineRule="auto"/>
      <w:rPr>
        <w:sz w:val="20"/>
      </w:rPr>
    </w:pPr>
    <w:r>
      <w:rPr>
        <w:noProof/>
      </w:rPr>
      <mc:AlternateContent>
        <mc:Choice Requires="wps">
          <w:drawing>
            <wp:anchor distT="0" distB="0" distL="0" distR="0" simplePos="0" relativeHeight="251660288" behindDoc="1" locked="0" layoutInCell="1" allowOverlap="1" wp14:anchorId="75B9C530" wp14:editId="599656AF">
              <wp:simplePos x="0" y="0"/>
              <wp:positionH relativeFrom="page">
                <wp:posOffset>800100</wp:posOffset>
              </wp:positionH>
              <wp:positionV relativeFrom="page">
                <wp:posOffset>695325</wp:posOffset>
              </wp:positionV>
              <wp:extent cx="5934075" cy="451485"/>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451485"/>
                      </a:xfrm>
                      <a:prstGeom prst="rect">
                        <a:avLst/>
                      </a:prstGeom>
                    </wps:spPr>
                    <wps:txbx>
                      <w:txbxContent>
                        <w:p w14:paraId="74D9BE71" w14:textId="17FF4B22" w:rsidR="00CF165B" w:rsidRPr="00CF165B" w:rsidRDefault="00CF165B" w:rsidP="00CF165B">
                          <w:pPr>
                            <w:pStyle w:val="Textoindependiente"/>
                            <w:ind w:right="740"/>
                            <w:jc w:val="center"/>
                            <w:rPr>
                              <w:sz w:val="18"/>
                              <w:szCs w:val="18"/>
                            </w:rPr>
                          </w:pPr>
                          <w:r w:rsidRPr="00CF165B">
                            <w:rPr>
                              <w:sz w:val="18"/>
                              <w:szCs w:val="18"/>
                            </w:rPr>
                            <w:t>Una Revisión Bibliográfica y de Contenido Web sobre la Tecnología Blockchain en Procesos</w:t>
                          </w:r>
                          <w:r>
                            <w:rPr>
                              <w:sz w:val="18"/>
                              <w:szCs w:val="18"/>
                            </w:rPr>
                            <w:t xml:space="preserve"> </w:t>
                          </w:r>
                          <w:r w:rsidRPr="00CF165B">
                            <w:rPr>
                              <w:sz w:val="18"/>
                              <w:szCs w:val="18"/>
                            </w:rPr>
                            <w:t>Administrativos del Sector Público</w:t>
                          </w:r>
                        </w:p>
                        <w:p w14:paraId="4FD1825A" w14:textId="2F7BD950" w:rsidR="00D85CDA" w:rsidRPr="00CF165B" w:rsidRDefault="00D85CDA" w:rsidP="00CF165B">
                          <w:pPr>
                            <w:spacing w:before="41"/>
                            <w:jc w:val="center"/>
                            <w:rPr>
                              <w:sz w:val="18"/>
                              <w:szCs w:val="18"/>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75B9C530" id="_x0000_t202" coordsize="21600,21600" o:spt="202" path="m,l,21600r21600,l21600,xe">
              <v:stroke joinstyle="miter"/>
              <v:path gradientshapeok="t" o:connecttype="rect"/>
            </v:shapetype>
            <v:shape id="Textbox 14" o:spid="_x0000_s1030" type="#_x0000_t202" style="position:absolute;margin-left:63pt;margin-top:54.75pt;width:467.25pt;height:35.5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" filled="f" stroked="f">
              <v:textbox inset="0,0,0,0">
                <w:txbxContent>
                  <w:p w14:paraId="74D9BE71" w14:textId="17FF4B22" w:rsidR="00CF165B" w:rsidRPr="00CF165B" w:rsidRDefault="00CF165B" w:rsidP="00CF165B">
                    <w:pPr>
                      <w:pStyle w:val="Textoindependiente"/>
                      <w:ind w:right="740"/>
                      <w:jc w:val="center"/>
                      <w:rPr>
                        <w:sz w:val="18"/>
                        <w:szCs w:val="18"/>
                      </w:rPr>
                    </w:pPr>
                    <w:r w:rsidRPr="00CF165B">
                      <w:rPr>
                        <w:sz w:val="18"/>
                        <w:szCs w:val="18"/>
                      </w:rPr>
                      <w:t>Una Revisión Bibliográfica y de Contenido Web sobre la Tecnología Blockchain en Procesos</w:t>
                    </w:r>
                    <w:r>
                      <w:rPr>
                        <w:sz w:val="18"/>
                        <w:szCs w:val="18"/>
                      </w:rPr>
                      <w:t xml:space="preserve"> </w:t>
                    </w:r>
                    <w:r w:rsidRPr="00CF165B">
                      <w:rPr>
                        <w:sz w:val="18"/>
                        <w:szCs w:val="18"/>
                      </w:rPr>
                      <w:t>Administrativos del Sector Público</w:t>
                    </w:r>
                  </w:p>
                  <w:p w14:paraId="4FD1825A" w14:textId="2F7BD950" w:rsidR="00D85CDA" w:rsidRPr="00CF165B" w:rsidRDefault="00D85CDA" w:rsidP="00CF165B">
                    <w:pPr>
                      <w:spacing w:before="41"/>
                      <w:jc w:val="center"/>
                      <w:rPr>
                        <w:sz w:val="18"/>
                        <w:szCs w:val="18"/>
                      </w:rPr>
                    </w:pPr>
                  </w:p>
                </w:txbxContent>
              </v:textbox>
              <w10:wrap anchorx="page" anchory="page"/>
            </v:shape>
          </w:pict>
        </mc:Fallback>
      </mc:AlternateContent>
    </w:r>
    <w:r w:rsidR="00390084">
      <w:rPr>
        <w:noProof/>
      </w:rPr>
      <mc:AlternateContent>
        <mc:Choice Requires="wps">
          <w:drawing>
            <wp:anchor distT="0" distB="0" distL="0" distR="0" simplePos="0" relativeHeight="251654144" behindDoc="1" locked="0" layoutInCell="1" allowOverlap="1" wp14:anchorId="13A6852E" wp14:editId="7E039AF0">
              <wp:simplePos x="0" y="0"/>
              <wp:positionH relativeFrom="page">
                <wp:posOffset>899998</wp:posOffset>
              </wp:positionH>
              <wp:positionV relativeFrom="page">
                <wp:posOffset>1262532</wp:posOffset>
              </wp:positionV>
              <wp:extent cx="5760085" cy="127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6F41248" id="Graphic 13" o:spid="_x0000_s1026" style="position:absolute;margin-left:70.85pt;margin-top:99.4pt;width:453.55pt;height:.1pt;z-index:-251662336;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" path="m,l5759996,e" filled="f" strokeweight=".14039mm">
              <v:path arrowok="t"/>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1770B57"/>
    <w:multiLevelType w:val="hybridMultilevel"/>
    <w:tmpl w:val="82D6E0F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15:restartNumberingAfterBreak="0">
    <w:nsid w:val="2B0B6FF6"/>
    <w:multiLevelType w:val="hybridMultilevel"/>
    <w:tmpl w:val="0DBC66D2"/>
    <w:lvl w:ilvl="0" w:tplc="255E0964">
      <w:start w:val="1"/>
      <w:numFmt w:val="decimal"/>
      <w:lvlText w:val="%1."/>
      <w:lvlJc w:val="left"/>
      <w:pPr>
        <w:ind w:left="639" w:hanging="503"/>
      </w:pPr>
      <w:rPr>
        <w:rFonts w:ascii="Book Antiqua" w:eastAsia="Book Antiqua" w:hAnsi="Book Antiqua" w:cs="Book Antiqua" w:hint="default"/>
        <w:b/>
        <w:bCs/>
        <w:i w:val="0"/>
        <w:iCs w:val="0"/>
        <w:spacing w:val="0"/>
        <w:w w:val="102"/>
        <w:sz w:val="28"/>
        <w:szCs w:val="28"/>
        <w:lang w:val="es-ES" w:eastAsia="en-US" w:bidi="ar-SA"/>
      </w:rPr>
    </w:lvl>
    <w:lvl w:ilvl="1" w:tplc="B6CADD8A">
      <w:numFmt w:val="bullet"/>
      <w:lvlText w:val="•"/>
      <w:lvlJc w:val="left"/>
      <w:pPr>
        <w:ind w:left="1507" w:hanging="503"/>
      </w:pPr>
      <w:rPr>
        <w:rFonts w:hint="default"/>
        <w:lang w:val="es-ES" w:eastAsia="en-US" w:bidi="ar-SA"/>
      </w:rPr>
    </w:lvl>
    <w:lvl w:ilvl="2" w:tplc="844AB4C4">
      <w:numFmt w:val="bullet"/>
      <w:lvlText w:val="•"/>
      <w:lvlJc w:val="left"/>
      <w:pPr>
        <w:ind w:left="2375" w:hanging="503"/>
      </w:pPr>
      <w:rPr>
        <w:rFonts w:hint="default"/>
        <w:lang w:val="es-ES" w:eastAsia="en-US" w:bidi="ar-SA"/>
      </w:rPr>
    </w:lvl>
    <w:lvl w:ilvl="3" w:tplc="3BE63898">
      <w:numFmt w:val="bullet"/>
      <w:lvlText w:val="•"/>
      <w:lvlJc w:val="left"/>
      <w:pPr>
        <w:ind w:left="3243" w:hanging="503"/>
      </w:pPr>
      <w:rPr>
        <w:rFonts w:hint="default"/>
        <w:lang w:val="es-ES" w:eastAsia="en-US" w:bidi="ar-SA"/>
      </w:rPr>
    </w:lvl>
    <w:lvl w:ilvl="4" w:tplc="8CF41224">
      <w:numFmt w:val="bullet"/>
      <w:lvlText w:val="•"/>
      <w:lvlJc w:val="left"/>
      <w:pPr>
        <w:ind w:left="4111" w:hanging="503"/>
      </w:pPr>
      <w:rPr>
        <w:rFonts w:hint="default"/>
        <w:lang w:val="es-ES" w:eastAsia="en-US" w:bidi="ar-SA"/>
      </w:rPr>
    </w:lvl>
    <w:lvl w:ilvl="5" w:tplc="322AC67A">
      <w:numFmt w:val="bullet"/>
      <w:lvlText w:val="•"/>
      <w:lvlJc w:val="left"/>
      <w:pPr>
        <w:ind w:left="4979" w:hanging="503"/>
      </w:pPr>
      <w:rPr>
        <w:rFonts w:hint="default"/>
        <w:lang w:val="es-ES" w:eastAsia="en-US" w:bidi="ar-SA"/>
      </w:rPr>
    </w:lvl>
    <w:lvl w:ilvl="6" w:tplc="BAF03F28">
      <w:numFmt w:val="bullet"/>
      <w:lvlText w:val="•"/>
      <w:lvlJc w:val="left"/>
      <w:pPr>
        <w:ind w:left="5846" w:hanging="503"/>
      </w:pPr>
      <w:rPr>
        <w:rFonts w:hint="default"/>
        <w:lang w:val="es-ES" w:eastAsia="en-US" w:bidi="ar-SA"/>
      </w:rPr>
    </w:lvl>
    <w:lvl w:ilvl="7" w:tplc="597C8146">
      <w:numFmt w:val="bullet"/>
      <w:lvlText w:val="•"/>
      <w:lvlJc w:val="left"/>
      <w:pPr>
        <w:ind w:left="6714" w:hanging="503"/>
      </w:pPr>
      <w:rPr>
        <w:rFonts w:hint="default"/>
        <w:lang w:val="es-ES" w:eastAsia="en-US" w:bidi="ar-SA"/>
      </w:rPr>
    </w:lvl>
    <w:lvl w:ilvl="8" w:tplc="E7DC7EA2">
      <w:numFmt w:val="bullet"/>
      <w:lvlText w:val="•"/>
      <w:lvlJc w:val="left"/>
      <w:pPr>
        <w:ind w:left="7582" w:hanging="503"/>
      </w:pPr>
      <w:rPr>
        <w:rFonts w:hint="default"/>
        <w:lang w:val="es-ES" w:eastAsia="en-US" w:bidi="ar-SA"/>
      </w:rPr>
    </w:lvl>
  </w:abstractNum>
  <w:abstractNum w:abstractNumId="2" w15:restartNumberingAfterBreak="0">
    <w:nsid w:val="2CE05539"/>
    <w:multiLevelType w:val="hybridMultilevel"/>
    <w:tmpl w:val="678E5204"/>
    <w:lvl w:ilvl="0" w:tplc="08090001">
      <w:start w:val="1"/>
      <w:numFmt w:val="bullet"/>
      <w:lvlText w:val=""/>
      <w:lvlJc w:val="left"/>
      <w:pPr>
        <w:ind w:left="1445" w:hanging="360"/>
      </w:pPr>
      <w:rPr>
        <w:rFonts w:ascii="Symbol" w:hAnsi="Symbol" w:hint="default"/>
      </w:rPr>
    </w:lvl>
    <w:lvl w:ilvl="1" w:tplc="08090003" w:tentative="1">
      <w:start w:val="1"/>
      <w:numFmt w:val="bullet"/>
      <w:lvlText w:val="o"/>
      <w:lvlJc w:val="left"/>
      <w:pPr>
        <w:ind w:left="2165" w:hanging="360"/>
      </w:pPr>
      <w:rPr>
        <w:rFonts w:ascii="Courier New" w:hAnsi="Courier New" w:cs="Courier New" w:hint="default"/>
      </w:rPr>
    </w:lvl>
    <w:lvl w:ilvl="2" w:tplc="08090005" w:tentative="1">
      <w:start w:val="1"/>
      <w:numFmt w:val="bullet"/>
      <w:lvlText w:val=""/>
      <w:lvlJc w:val="left"/>
      <w:pPr>
        <w:ind w:left="2885" w:hanging="360"/>
      </w:pPr>
      <w:rPr>
        <w:rFonts w:ascii="Wingdings" w:hAnsi="Wingdings" w:hint="default"/>
      </w:rPr>
    </w:lvl>
    <w:lvl w:ilvl="3" w:tplc="08090001" w:tentative="1">
      <w:start w:val="1"/>
      <w:numFmt w:val="bullet"/>
      <w:lvlText w:val=""/>
      <w:lvlJc w:val="left"/>
      <w:pPr>
        <w:ind w:left="3605" w:hanging="360"/>
      </w:pPr>
      <w:rPr>
        <w:rFonts w:ascii="Symbol" w:hAnsi="Symbol" w:hint="default"/>
      </w:rPr>
    </w:lvl>
    <w:lvl w:ilvl="4" w:tplc="08090003" w:tentative="1">
      <w:start w:val="1"/>
      <w:numFmt w:val="bullet"/>
      <w:lvlText w:val="o"/>
      <w:lvlJc w:val="left"/>
      <w:pPr>
        <w:ind w:left="4325" w:hanging="360"/>
      </w:pPr>
      <w:rPr>
        <w:rFonts w:ascii="Courier New" w:hAnsi="Courier New" w:cs="Courier New" w:hint="default"/>
      </w:rPr>
    </w:lvl>
    <w:lvl w:ilvl="5" w:tplc="08090005" w:tentative="1">
      <w:start w:val="1"/>
      <w:numFmt w:val="bullet"/>
      <w:lvlText w:val=""/>
      <w:lvlJc w:val="left"/>
      <w:pPr>
        <w:ind w:left="5045" w:hanging="360"/>
      </w:pPr>
      <w:rPr>
        <w:rFonts w:ascii="Wingdings" w:hAnsi="Wingdings" w:hint="default"/>
      </w:rPr>
    </w:lvl>
    <w:lvl w:ilvl="6" w:tplc="08090001" w:tentative="1">
      <w:start w:val="1"/>
      <w:numFmt w:val="bullet"/>
      <w:lvlText w:val=""/>
      <w:lvlJc w:val="left"/>
      <w:pPr>
        <w:ind w:left="5765" w:hanging="360"/>
      </w:pPr>
      <w:rPr>
        <w:rFonts w:ascii="Symbol" w:hAnsi="Symbol" w:hint="default"/>
      </w:rPr>
    </w:lvl>
    <w:lvl w:ilvl="7" w:tplc="08090003" w:tentative="1">
      <w:start w:val="1"/>
      <w:numFmt w:val="bullet"/>
      <w:lvlText w:val="o"/>
      <w:lvlJc w:val="left"/>
      <w:pPr>
        <w:ind w:left="6485" w:hanging="360"/>
      </w:pPr>
      <w:rPr>
        <w:rFonts w:ascii="Courier New" w:hAnsi="Courier New" w:cs="Courier New" w:hint="default"/>
      </w:rPr>
    </w:lvl>
    <w:lvl w:ilvl="8" w:tplc="08090005" w:tentative="1">
      <w:start w:val="1"/>
      <w:numFmt w:val="bullet"/>
      <w:lvlText w:val=""/>
      <w:lvlJc w:val="left"/>
      <w:pPr>
        <w:ind w:left="7205" w:hanging="360"/>
      </w:pPr>
      <w:rPr>
        <w:rFonts w:ascii="Wingdings" w:hAnsi="Wingdings" w:hint="default"/>
      </w:rPr>
    </w:lvl>
  </w:abstractNum>
  <w:abstractNum w:abstractNumId="3" w15:restartNumberingAfterBreak="0">
    <w:nsid w:val="2E937206"/>
    <w:multiLevelType w:val="hybridMultilevel"/>
    <w:tmpl w:val="E17E5D88"/>
    <w:lvl w:ilvl="0" w:tplc="812A8FB2">
      <w:start w:val="1"/>
      <w:numFmt w:val="decimal"/>
      <w:lvlText w:val="[%1]"/>
      <w:lvlJc w:val="left"/>
      <w:pPr>
        <w:ind w:left="379" w:hanging="342"/>
      </w:pPr>
      <w:rPr>
        <w:rFonts w:ascii="Book Antiqua" w:eastAsia="Book Antiqua" w:hAnsi="Book Antiqua" w:cs="Book Antiqua" w:hint="default"/>
        <w:b w:val="0"/>
        <w:bCs w:val="0"/>
        <w:i w:val="0"/>
        <w:iCs w:val="0"/>
        <w:color w:val="auto"/>
        <w:spacing w:val="0"/>
        <w:w w:val="99"/>
        <w:sz w:val="20"/>
        <w:szCs w:val="20"/>
        <w:lang w:val="es-ES" w:eastAsia="en-US" w:bidi="ar-SA"/>
      </w:rPr>
    </w:lvl>
    <w:lvl w:ilvl="1" w:tplc="1A547A46">
      <w:numFmt w:val="bullet"/>
      <w:lvlText w:val="•"/>
      <w:lvlJc w:val="left"/>
      <w:pPr>
        <w:ind w:left="1273" w:hanging="342"/>
      </w:pPr>
      <w:rPr>
        <w:rFonts w:hint="default"/>
        <w:lang w:val="es-ES" w:eastAsia="en-US" w:bidi="ar-SA"/>
      </w:rPr>
    </w:lvl>
    <w:lvl w:ilvl="2" w:tplc="56102E60">
      <w:numFmt w:val="bullet"/>
      <w:lvlText w:val="•"/>
      <w:lvlJc w:val="left"/>
      <w:pPr>
        <w:ind w:left="2167" w:hanging="342"/>
      </w:pPr>
      <w:rPr>
        <w:rFonts w:hint="default"/>
        <w:lang w:val="es-ES" w:eastAsia="en-US" w:bidi="ar-SA"/>
      </w:rPr>
    </w:lvl>
    <w:lvl w:ilvl="3" w:tplc="8AAA346A">
      <w:numFmt w:val="bullet"/>
      <w:lvlText w:val="•"/>
      <w:lvlJc w:val="left"/>
      <w:pPr>
        <w:ind w:left="3061" w:hanging="342"/>
      </w:pPr>
      <w:rPr>
        <w:rFonts w:hint="default"/>
        <w:lang w:val="es-ES" w:eastAsia="en-US" w:bidi="ar-SA"/>
      </w:rPr>
    </w:lvl>
    <w:lvl w:ilvl="4" w:tplc="561A8CD8">
      <w:numFmt w:val="bullet"/>
      <w:lvlText w:val="•"/>
      <w:lvlJc w:val="left"/>
      <w:pPr>
        <w:ind w:left="3955" w:hanging="342"/>
      </w:pPr>
      <w:rPr>
        <w:rFonts w:hint="default"/>
        <w:lang w:val="es-ES" w:eastAsia="en-US" w:bidi="ar-SA"/>
      </w:rPr>
    </w:lvl>
    <w:lvl w:ilvl="5" w:tplc="D4DE02CE">
      <w:numFmt w:val="bullet"/>
      <w:lvlText w:val="•"/>
      <w:lvlJc w:val="left"/>
      <w:pPr>
        <w:ind w:left="4849" w:hanging="342"/>
      </w:pPr>
      <w:rPr>
        <w:rFonts w:hint="default"/>
        <w:lang w:val="es-ES" w:eastAsia="en-US" w:bidi="ar-SA"/>
      </w:rPr>
    </w:lvl>
    <w:lvl w:ilvl="6" w:tplc="DD746A5C">
      <w:numFmt w:val="bullet"/>
      <w:lvlText w:val="•"/>
      <w:lvlJc w:val="left"/>
      <w:pPr>
        <w:ind w:left="5742" w:hanging="342"/>
      </w:pPr>
      <w:rPr>
        <w:rFonts w:hint="default"/>
        <w:lang w:val="es-ES" w:eastAsia="en-US" w:bidi="ar-SA"/>
      </w:rPr>
    </w:lvl>
    <w:lvl w:ilvl="7" w:tplc="E1B8E9B4">
      <w:numFmt w:val="bullet"/>
      <w:lvlText w:val="•"/>
      <w:lvlJc w:val="left"/>
      <w:pPr>
        <w:ind w:left="6636" w:hanging="342"/>
      </w:pPr>
      <w:rPr>
        <w:rFonts w:hint="default"/>
        <w:lang w:val="es-ES" w:eastAsia="en-US" w:bidi="ar-SA"/>
      </w:rPr>
    </w:lvl>
    <w:lvl w:ilvl="8" w:tplc="2FA8BF46">
      <w:numFmt w:val="bullet"/>
      <w:lvlText w:val="•"/>
      <w:lvlJc w:val="left"/>
      <w:pPr>
        <w:ind w:left="7530" w:hanging="342"/>
      </w:pPr>
      <w:rPr>
        <w:rFonts w:hint="default"/>
        <w:lang w:val="es-ES" w:eastAsia="en-US" w:bidi="ar-SA"/>
      </w:rPr>
    </w:lvl>
  </w:abstractNum>
  <w:abstractNum w:abstractNumId="4" w15:restartNumberingAfterBreak="0">
    <w:nsid w:val="2EBD5755"/>
    <w:multiLevelType w:val="multilevel"/>
    <w:tmpl w:val="23C6A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A86C20"/>
    <w:multiLevelType w:val="hybridMultilevel"/>
    <w:tmpl w:val="1412361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4EC51816"/>
    <w:multiLevelType w:val="hybridMultilevel"/>
    <w:tmpl w:val="1412361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5B372922"/>
    <w:multiLevelType w:val="hybridMultilevel"/>
    <w:tmpl w:val="0DBC66D2"/>
    <w:lvl w:ilvl="0" w:tplc="255E0964">
      <w:start w:val="1"/>
      <w:numFmt w:val="decimal"/>
      <w:lvlText w:val="%1."/>
      <w:lvlJc w:val="left"/>
      <w:pPr>
        <w:ind w:left="639" w:hanging="503"/>
      </w:pPr>
      <w:rPr>
        <w:rFonts w:ascii="Book Antiqua" w:eastAsia="Book Antiqua" w:hAnsi="Book Antiqua" w:cs="Book Antiqua" w:hint="default"/>
        <w:b/>
        <w:bCs/>
        <w:i w:val="0"/>
        <w:iCs w:val="0"/>
        <w:spacing w:val="0"/>
        <w:w w:val="102"/>
        <w:sz w:val="28"/>
        <w:szCs w:val="28"/>
        <w:lang w:val="es-ES" w:eastAsia="en-US" w:bidi="ar-SA"/>
      </w:rPr>
    </w:lvl>
    <w:lvl w:ilvl="1" w:tplc="B6CADD8A">
      <w:numFmt w:val="bullet"/>
      <w:lvlText w:val="•"/>
      <w:lvlJc w:val="left"/>
      <w:pPr>
        <w:ind w:left="1507" w:hanging="503"/>
      </w:pPr>
      <w:rPr>
        <w:rFonts w:hint="default"/>
        <w:lang w:val="es-ES" w:eastAsia="en-US" w:bidi="ar-SA"/>
      </w:rPr>
    </w:lvl>
    <w:lvl w:ilvl="2" w:tplc="844AB4C4">
      <w:numFmt w:val="bullet"/>
      <w:lvlText w:val="•"/>
      <w:lvlJc w:val="left"/>
      <w:pPr>
        <w:ind w:left="2375" w:hanging="503"/>
      </w:pPr>
      <w:rPr>
        <w:rFonts w:hint="default"/>
        <w:lang w:val="es-ES" w:eastAsia="en-US" w:bidi="ar-SA"/>
      </w:rPr>
    </w:lvl>
    <w:lvl w:ilvl="3" w:tplc="3BE63898">
      <w:numFmt w:val="bullet"/>
      <w:lvlText w:val="•"/>
      <w:lvlJc w:val="left"/>
      <w:pPr>
        <w:ind w:left="3243" w:hanging="503"/>
      </w:pPr>
      <w:rPr>
        <w:rFonts w:hint="default"/>
        <w:lang w:val="es-ES" w:eastAsia="en-US" w:bidi="ar-SA"/>
      </w:rPr>
    </w:lvl>
    <w:lvl w:ilvl="4" w:tplc="8CF41224">
      <w:numFmt w:val="bullet"/>
      <w:lvlText w:val="•"/>
      <w:lvlJc w:val="left"/>
      <w:pPr>
        <w:ind w:left="4111" w:hanging="503"/>
      </w:pPr>
      <w:rPr>
        <w:rFonts w:hint="default"/>
        <w:lang w:val="es-ES" w:eastAsia="en-US" w:bidi="ar-SA"/>
      </w:rPr>
    </w:lvl>
    <w:lvl w:ilvl="5" w:tplc="322AC67A">
      <w:numFmt w:val="bullet"/>
      <w:lvlText w:val="•"/>
      <w:lvlJc w:val="left"/>
      <w:pPr>
        <w:ind w:left="4979" w:hanging="503"/>
      </w:pPr>
      <w:rPr>
        <w:rFonts w:hint="default"/>
        <w:lang w:val="es-ES" w:eastAsia="en-US" w:bidi="ar-SA"/>
      </w:rPr>
    </w:lvl>
    <w:lvl w:ilvl="6" w:tplc="BAF03F28">
      <w:numFmt w:val="bullet"/>
      <w:lvlText w:val="•"/>
      <w:lvlJc w:val="left"/>
      <w:pPr>
        <w:ind w:left="5846" w:hanging="503"/>
      </w:pPr>
      <w:rPr>
        <w:rFonts w:hint="default"/>
        <w:lang w:val="es-ES" w:eastAsia="en-US" w:bidi="ar-SA"/>
      </w:rPr>
    </w:lvl>
    <w:lvl w:ilvl="7" w:tplc="597C8146">
      <w:numFmt w:val="bullet"/>
      <w:lvlText w:val="•"/>
      <w:lvlJc w:val="left"/>
      <w:pPr>
        <w:ind w:left="6714" w:hanging="503"/>
      </w:pPr>
      <w:rPr>
        <w:rFonts w:hint="default"/>
        <w:lang w:val="es-ES" w:eastAsia="en-US" w:bidi="ar-SA"/>
      </w:rPr>
    </w:lvl>
    <w:lvl w:ilvl="8" w:tplc="E7DC7EA2">
      <w:numFmt w:val="bullet"/>
      <w:lvlText w:val="•"/>
      <w:lvlJc w:val="left"/>
      <w:pPr>
        <w:ind w:left="7582" w:hanging="503"/>
      </w:pPr>
      <w:rPr>
        <w:rFonts w:hint="default"/>
        <w:lang w:val="es-ES" w:eastAsia="en-US" w:bidi="ar-SA"/>
      </w:rPr>
    </w:lvl>
  </w:abstractNum>
  <w:abstractNum w:abstractNumId="8" w15:restartNumberingAfterBreak="0">
    <w:nsid w:val="5D9C665F"/>
    <w:multiLevelType w:val="hybridMultilevel"/>
    <w:tmpl w:val="1412361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5DD219E3"/>
    <w:multiLevelType w:val="hybridMultilevel"/>
    <w:tmpl w:val="B266AA0C"/>
    <w:lvl w:ilvl="0" w:tplc="08090001">
      <w:start w:val="1"/>
      <w:numFmt w:val="bullet"/>
      <w:lvlText w:val=""/>
      <w:lvlJc w:val="left"/>
      <w:pPr>
        <w:ind w:left="1445" w:hanging="360"/>
      </w:pPr>
      <w:rPr>
        <w:rFonts w:ascii="Symbol" w:hAnsi="Symbol" w:hint="default"/>
      </w:rPr>
    </w:lvl>
    <w:lvl w:ilvl="1" w:tplc="08090003" w:tentative="1">
      <w:start w:val="1"/>
      <w:numFmt w:val="bullet"/>
      <w:lvlText w:val="o"/>
      <w:lvlJc w:val="left"/>
      <w:pPr>
        <w:ind w:left="2165" w:hanging="360"/>
      </w:pPr>
      <w:rPr>
        <w:rFonts w:ascii="Courier New" w:hAnsi="Courier New" w:cs="Courier New" w:hint="default"/>
      </w:rPr>
    </w:lvl>
    <w:lvl w:ilvl="2" w:tplc="08090005" w:tentative="1">
      <w:start w:val="1"/>
      <w:numFmt w:val="bullet"/>
      <w:lvlText w:val=""/>
      <w:lvlJc w:val="left"/>
      <w:pPr>
        <w:ind w:left="2885" w:hanging="360"/>
      </w:pPr>
      <w:rPr>
        <w:rFonts w:ascii="Wingdings" w:hAnsi="Wingdings" w:hint="default"/>
      </w:rPr>
    </w:lvl>
    <w:lvl w:ilvl="3" w:tplc="08090001" w:tentative="1">
      <w:start w:val="1"/>
      <w:numFmt w:val="bullet"/>
      <w:lvlText w:val=""/>
      <w:lvlJc w:val="left"/>
      <w:pPr>
        <w:ind w:left="3605" w:hanging="360"/>
      </w:pPr>
      <w:rPr>
        <w:rFonts w:ascii="Symbol" w:hAnsi="Symbol" w:hint="default"/>
      </w:rPr>
    </w:lvl>
    <w:lvl w:ilvl="4" w:tplc="08090003" w:tentative="1">
      <w:start w:val="1"/>
      <w:numFmt w:val="bullet"/>
      <w:lvlText w:val="o"/>
      <w:lvlJc w:val="left"/>
      <w:pPr>
        <w:ind w:left="4325" w:hanging="360"/>
      </w:pPr>
      <w:rPr>
        <w:rFonts w:ascii="Courier New" w:hAnsi="Courier New" w:cs="Courier New" w:hint="default"/>
      </w:rPr>
    </w:lvl>
    <w:lvl w:ilvl="5" w:tplc="08090005" w:tentative="1">
      <w:start w:val="1"/>
      <w:numFmt w:val="bullet"/>
      <w:lvlText w:val=""/>
      <w:lvlJc w:val="left"/>
      <w:pPr>
        <w:ind w:left="5045" w:hanging="360"/>
      </w:pPr>
      <w:rPr>
        <w:rFonts w:ascii="Wingdings" w:hAnsi="Wingdings" w:hint="default"/>
      </w:rPr>
    </w:lvl>
    <w:lvl w:ilvl="6" w:tplc="08090001" w:tentative="1">
      <w:start w:val="1"/>
      <w:numFmt w:val="bullet"/>
      <w:lvlText w:val=""/>
      <w:lvlJc w:val="left"/>
      <w:pPr>
        <w:ind w:left="5765" w:hanging="360"/>
      </w:pPr>
      <w:rPr>
        <w:rFonts w:ascii="Symbol" w:hAnsi="Symbol" w:hint="default"/>
      </w:rPr>
    </w:lvl>
    <w:lvl w:ilvl="7" w:tplc="08090003" w:tentative="1">
      <w:start w:val="1"/>
      <w:numFmt w:val="bullet"/>
      <w:lvlText w:val="o"/>
      <w:lvlJc w:val="left"/>
      <w:pPr>
        <w:ind w:left="6485" w:hanging="360"/>
      </w:pPr>
      <w:rPr>
        <w:rFonts w:ascii="Courier New" w:hAnsi="Courier New" w:cs="Courier New" w:hint="default"/>
      </w:rPr>
    </w:lvl>
    <w:lvl w:ilvl="8" w:tplc="08090005" w:tentative="1">
      <w:start w:val="1"/>
      <w:numFmt w:val="bullet"/>
      <w:lvlText w:val=""/>
      <w:lvlJc w:val="left"/>
      <w:pPr>
        <w:ind w:left="7205" w:hanging="360"/>
      </w:pPr>
      <w:rPr>
        <w:rFonts w:ascii="Wingdings" w:hAnsi="Wingdings" w:hint="default"/>
      </w:rPr>
    </w:lvl>
  </w:abstractNum>
  <w:abstractNum w:abstractNumId="10" w15:restartNumberingAfterBreak="0">
    <w:nsid w:val="602A6C13"/>
    <w:multiLevelType w:val="hybridMultilevel"/>
    <w:tmpl w:val="A4E685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55E06D0"/>
    <w:multiLevelType w:val="hybridMultilevel"/>
    <w:tmpl w:val="292CD352"/>
    <w:lvl w:ilvl="0" w:tplc="08090001">
      <w:start w:val="1"/>
      <w:numFmt w:val="bullet"/>
      <w:lvlText w:val=""/>
      <w:lvlJc w:val="left"/>
      <w:pPr>
        <w:ind w:left="1445" w:hanging="360"/>
      </w:pPr>
      <w:rPr>
        <w:rFonts w:ascii="Symbol" w:hAnsi="Symbol" w:hint="default"/>
      </w:rPr>
    </w:lvl>
    <w:lvl w:ilvl="1" w:tplc="08090003" w:tentative="1">
      <w:start w:val="1"/>
      <w:numFmt w:val="bullet"/>
      <w:lvlText w:val="o"/>
      <w:lvlJc w:val="left"/>
      <w:pPr>
        <w:ind w:left="2165" w:hanging="360"/>
      </w:pPr>
      <w:rPr>
        <w:rFonts w:ascii="Courier New" w:hAnsi="Courier New" w:cs="Courier New" w:hint="default"/>
      </w:rPr>
    </w:lvl>
    <w:lvl w:ilvl="2" w:tplc="08090005" w:tentative="1">
      <w:start w:val="1"/>
      <w:numFmt w:val="bullet"/>
      <w:lvlText w:val=""/>
      <w:lvlJc w:val="left"/>
      <w:pPr>
        <w:ind w:left="2885" w:hanging="360"/>
      </w:pPr>
      <w:rPr>
        <w:rFonts w:ascii="Wingdings" w:hAnsi="Wingdings" w:hint="default"/>
      </w:rPr>
    </w:lvl>
    <w:lvl w:ilvl="3" w:tplc="08090001" w:tentative="1">
      <w:start w:val="1"/>
      <w:numFmt w:val="bullet"/>
      <w:lvlText w:val=""/>
      <w:lvlJc w:val="left"/>
      <w:pPr>
        <w:ind w:left="3605" w:hanging="360"/>
      </w:pPr>
      <w:rPr>
        <w:rFonts w:ascii="Symbol" w:hAnsi="Symbol" w:hint="default"/>
      </w:rPr>
    </w:lvl>
    <w:lvl w:ilvl="4" w:tplc="08090003" w:tentative="1">
      <w:start w:val="1"/>
      <w:numFmt w:val="bullet"/>
      <w:lvlText w:val="o"/>
      <w:lvlJc w:val="left"/>
      <w:pPr>
        <w:ind w:left="4325" w:hanging="360"/>
      </w:pPr>
      <w:rPr>
        <w:rFonts w:ascii="Courier New" w:hAnsi="Courier New" w:cs="Courier New" w:hint="default"/>
      </w:rPr>
    </w:lvl>
    <w:lvl w:ilvl="5" w:tplc="08090005" w:tentative="1">
      <w:start w:val="1"/>
      <w:numFmt w:val="bullet"/>
      <w:lvlText w:val=""/>
      <w:lvlJc w:val="left"/>
      <w:pPr>
        <w:ind w:left="5045" w:hanging="360"/>
      </w:pPr>
      <w:rPr>
        <w:rFonts w:ascii="Wingdings" w:hAnsi="Wingdings" w:hint="default"/>
      </w:rPr>
    </w:lvl>
    <w:lvl w:ilvl="6" w:tplc="08090001" w:tentative="1">
      <w:start w:val="1"/>
      <w:numFmt w:val="bullet"/>
      <w:lvlText w:val=""/>
      <w:lvlJc w:val="left"/>
      <w:pPr>
        <w:ind w:left="5765" w:hanging="360"/>
      </w:pPr>
      <w:rPr>
        <w:rFonts w:ascii="Symbol" w:hAnsi="Symbol" w:hint="default"/>
      </w:rPr>
    </w:lvl>
    <w:lvl w:ilvl="7" w:tplc="08090003" w:tentative="1">
      <w:start w:val="1"/>
      <w:numFmt w:val="bullet"/>
      <w:lvlText w:val="o"/>
      <w:lvlJc w:val="left"/>
      <w:pPr>
        <w:ind w:left="6485" w:hanging="360"/>
      </w:pPr>
      <w:rPr>
        <w:rFonts w:ascii="Courier New" w:hAnsi="Courier New" w:cs="Courier New" w:hint="default"/>
      </w:rPr>
    </w:lvl>
    <w:lvl w:ilvl="8" w:tplc="08090005" w:tentative="1">
      <w:start w:val="1"/>
      <w:numFmt w:val="bullet"/>
      <w:lvlText w:val=""/>
      <w:lvlJc w:val="left"/>
      <w:pPr>
        <w:ind w:left="7205" w:hanging="360"/>
      </w:pPr>
      <w:rPr>
        <w:rFonts w:ascii="Wingdings" w:hAnsi="Wingdings" w:hint="default"/>
      </w:rPr>
    </w:lvl>
  </w:abstractNum>
  <w:num w:numId="1">
    <w:abstractNumId w:val="3"/>
  </w:num>
  <w:num w:numId="2">
    <w:abstractNumId w:val="1"/>
  </w:num>
  <w:num w:numId="3">
    <w:abstractNumId w:val="4"/>
  </w:num>
  <w:num w:numId="4">
    <w:abstractNumId w:val="8"/>
  </w:num>
  <w:num w:numId="5">
    <w:abstractNumId w:val="5"/>
  </w:num>
  <w:num w:numId="6">
    <w:abstractNumId w:val="6"/>
  </w:num>
  <w:num w:numId="7">
    <w:abstractNumId w:val="9"/>
  </w:num>
  <w:num w:numId="8">
    <w:abstractNumId w:val="11"/>
  </w:num>
  <w:num w:numId="9">
    <w:abstractNumId w:val="2"/>
  </w:num>
  <w:num w:numId="10">
    <w:abstractNumId w:val="7"/>
  </w:num>
  <w:num w:numId="11">
    <w:abstractNumId w:val="0"/>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CDA"/>
    <w:rsid w:val="00044872"/>
    <w:rsid w:val="00054905"/>
    <w:rsid w:val="00057ECF"/>
    <w:rsid w:val="00065CD1"/>
    <w:rsid w:val="00072978"/>
    <w:rsid w:val="00084744"/>
    <w:rsid w:val="000962B4"/>
    <w:rsid w:val="000A6354"/>
    <w:rsid w:val="000B3C23"/>
    <w:rsid w:val="000C0A7C"/>
    <w:rsid w:val="000C64FD"/>
    <w:rsid w:val="00133EE9"/>
    <w:rsid w:val="001474B5"/>
    <w:rsid w:val="0014793B"/>
    <w:rsid w:val="0015006A"/>
    <w:rsid w:val="00165439"/>
    <w:rsid w:val="00180426"/>
    <w:rsid w:val="00182241"/>
    <w:rsid w:val="001B4E19"/>
    <w:rsid w:val="001B6C80"/>
    <w:rsid w:val="001E3753"/>
    <w:rsid w:val="00212ADC"/>
    <w:rsid w:val="002250C1"/>
    <w:rsid w:val="0023572D"/>
    <w:rsid w:val="00254DE6"/>
    <w:rsid w:val="00280B7C"/>
    <w:rsid w:val="00281257"/>
    <w:rsid w:val="0031752F"/>
    <w:rsid w:val="00326E77"/>
    <w:rsid w:val="00351DF6"/>
    <w:rsid w:val="00390084"/>
    <w:rsid w:val="003A436B"/>
    <w:rsid w:val="003C5A93"/>
    <w:rsid w:val="003D7130"/>
    <w:rsid w:val="004145AE"/>
    <w:rsid w:val="0042692B"/>
    <w:rsid w:val="00442984"/>
    <w:rsid w:val="004438B7"/>
    <w:rsid w:val="00445CFE"/>
    <w:rsid w:val="004774AA"/>
    <w:rsid w:val="004D1764"/>
    <w:rsid w:val="004E6CA4"/>
    <w:rsid w:val="004F6FFC"/>
    <w:rsid w:val="005020F9"/>
    <w:rsid w:val="00507B97"/>
    <w:rsid w:val="00513230"/>
    <w:rsid w:val="0053532B"/>
    <w:rsid w:val="0056247D"/>
    <w:rsid w:val="00576CE7"/>
    <w:rsid w:val="00581BF2"/>
    <w:rsid w:val="005C5CCE"/>
    <w:rsid w:val="005E2B52"/>
    <w:rsid w:val="005E6E26"/>
    <w:rsid w:val="005F1E08"/>
    <w:rsid w:val="005F48EC"/>
    <w:rsid w:val="00612BA2"/>
    <w:rsid w:val="00616B42"/>
    <w:rsid w:val="006764D8"/>
    <w:rsid w:val="006860D5"/>
    <w:rsid w:val="006944B3"/>
    <w:rsid w:val="006B1D7D"/>
    <w:rsid w:val="006F314F"/>
    <w:rsid w:val="006F5257"/>
    <w:rsid w:val="0074123E"/>
    <w:rsid w:val="00761188"/>
    <w:rsid w:val="007652FB"/>
    <w:rsid w:val="007F6D69"/>
    <w:rsid w:val="008134AD"/>
    <w:rsid w:val="008141C1"/>
    <w:rsid w:val="00815209"/>
    <w:rsid w:val="008207C4"/>
    <w:rsid w:val="008673F7"/>
    <w:rsid w:val="008A2D8D"/>
    <w:rsid w:val="008D65B0"/>
    <w:rsid w:val="009135BB"/>
    <w:rsid w:val="00965A42"/>
    <w:rsid w:val="009676CA"/>
    <w:rsid w:val="009715F4"/>
    <w:rsid w:val="00984C8B"/>
    <w:rsid w:val="0098598E"/>
    <w:rsid w:val="009C446E"/>
    <w:rsid w:val="009C44DC"/>
    <w:rsid w:val="009F45A6"/>
    <w:rsid w:val="00A24D50"/>
    <w:rsid w:val="00A3560E"/>
    <w:rsid w:val="00A414C0"/>
    <w:rsid w:val="00A41EAE"/>
    <w:rsid w:val="00A450CD"/>
    <w:rsid w:val="00A57596"/>
    <w:rsid w:val="00A66D6C"/>
    <w:rsid w:val="00A7536F"/>
    <w:rsid w:val="00AE2D0D"/>
    <w:rsid w:val="00B26FE8"/>
    <w:rsid w:val="00B433E1"/>
    <w:rsid w:val="00B560DE"/>
    <w:rsid w:val="00B63431"/>
    <w:rsid w:val="00B73CCA"/>
    <w:rsid w:val="00B75F09"/>
    <w:rsid w:val="00B77A0F"/>
    <w:rsid w:val="00B854F7"/>
    <w:rsid w:val="00B8655B"/>
    <w:rsid w:val="00BA6869"/>
    <w:rsid w:val="00BC15E1"/>
    <w:rsid w:val="00BD0297"/>
    <w:rsid w:val="00BD4B4B"/>
    <w:rsid w:val="00C445E7"/>
    <w:rsid w:val="00C95AE6"/>
    <w:rsid w:val="00CA2610"/>
    <w:rsid w:val="00CA73FA"/>
    <w:rsid w:val="00CB6A4A"/>
    <w:rsid w:val="00CE3411"/>
    <w:rsid w:val="00CE604F"/>
    <w:rsid w:val="00CF165B"/>
    <w:rsid w:val="00CF374E"/>
    <w:rsid w:val="00D17E95"/>
    <w:rsid w:val="00D434C2"/>
    <w:rsid w:val="00D45027"/>
    <w:rsid w:val="00D474A9"/>
    <w:rsid w:val="00D72342"/>
    <w:rsid w:val="00D80ECE"/>
    <w:rsid w:val="00D85CDA"/>
    <w:rsid w:val="00DA522A"/>
    <w:rsid w:val="00DB6630"/>
    <w:rsid w:val="00DC11F3"/>
    <w:rsid w:val="00DC1B4F"/>
    <w:rsid w:val="00DF0882"/>
    <w:rsid w:val="00DF2181"/>
    <w:rsid w:val="00DF6711"/>
    <w:rsid w:val="00E10871"/>
    <w:rsid w:val="00E113F4"/>
    <w:rsid w:val="00E1598A"/>
    <w:rsid w:val="00E21BF5"/>
    <w:rsid w:val="00E22139"/>
    <w:rsid w:val="00E301D7"/>
    <w:rsid w:val="00EA4445"/>
    <w:rsid w:val="00EB7768"/>
    <w:rsid w:val="00EF193B"/>
    <w:rsid w:val="00EF3C4B"/>
    <w:rsid w:val="00F22DD4"/>
    <w:rsid w:val="00F32A49"/>
    <w:rsid w:val="00F348FA"/>
    <w:rsid w:val="00F669D3"/>
    <w:rsid w:val="00F70CEF"/>
    <w:rsid w:val="00F8049A"/>
    <w:rsid w:val="00F956B6"/>
    <w:rsid w:val="00FA744A"/>
    <w:rsid w:val="00FC37A0"/>
    <w:rsid w:val="00FC3E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884FD2"/>
  <w15:docId w15:val="{759C2E20-9892-4813-AAAC-D0B47D48A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Book Antiqua" w:eastAsia="Book Antiqua" w:hAnsi="Book Antiqua" w:cs="Book Antiqua"/>
      <w:lang w:val="es-ES"/>
    </w:rPr>
  </w:style>
  <w:style w:type="paragraph" w:styleId="Ttulo1">
    <w:name w:val="heading 1"/>
    <w:basedOn w:val="Normal"/>
    <w:uiPriority w:val="9"/>
    <w:qFormat/>
    <w:pPr>
      <w:ind w:left="639" w:hanging="502"/>
      <w:outlineLvl w:val="0"/>
    </w:pPr>
    <w:rPr>
      <w:b/>
      <w:bCs/>
      <w:sz w:val="28"/>
      <w:szCs w:val="28"/>
    </w:rPr>
  </w:style>
  <w:style w:type="paragraph" w:styleId="Ttulo3">
    <w:name w:val="heading 3"/>
    <w:basedOn w:val="Normal"/>
    <w:next w:val="Normal"/>
    <w:link w:val="Ttulo3Car"/>
    <w:uiPriority w:val="9"/>
    <w:semiHidden/>
    <w:unhideWhenUsed/>
    <w:qFormat/>
    <w:rsid w:val="009C446E"/>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Ttulo">
    <w:name w:val="Title"/>
    <w:basedOn w:val="Normal"/>
    <w:uiPriority w:val="10"/>
    <w:qFormat/>
    <w:pPr>
      <w:spacing w:before="170"/>
      <w:ind w:left="757"/>
      <w:jc w:val="center"/>
    </w:pPr>
    <w:rPr>
      <w:b/>
      <w:bCs/>
      <w:sz w:val="44"/>
      <w:szCs w:val="44"/>
    </w:rPr>
  </w:style>
  <w:style w:type="paragraph" w:styleId="Prrafodelista">
    <w:name w:val="List Paragraph"/>
    <w:basedOn w:val="Normal"/>
    <w:uiPriority w:val="34"/>
    <w:qFormat/>
    <w:pPr>
      <w:spacing w:before="106"/>
      <w:ind w:left="379" w:right="109" w:hanging="242"/>
      <w:jc w:val="both"/>
    </w:pPr>
  </w:style>
  <w:style w:type="paragraph" w:customStyle="1" w:styleId="TableParagraph">
    <w:name w:val="Table Paragraph"/>
    <w:basedOn w:val="Normal"/>
    <w:uiPriority w:val="1"/>
    <w:qFormat/>
    <w:pPr>
      <w:spacing w:before="26"/>
      <w:ind w:left="5"/>
      <w:jc w:val="center"/>
    </w:pPr>
  </w:style>
  <w:style w:type="paragraph" w:customStyle="1" w:styleId="MDPI13authornames">
    <w:name w:val="MDPI_1.3_authornames"/>
    <w:next w:val="Normal"/>
    <w:qFormat/>
    <w:rsid w:val="00180426"/>
    <w:pPr>
      <w:widowControl/>
      <w:autoSpaceDE/>
      <w:autoSpaceDN/>
      <w:adjustRightInd w:val="0"/>
      <w:snapToGrid w:val="0"/>
      <w:spacing w:after="360" w:line="260" w:lineRule="atLeast"/>
    </w:pPr>
    <w:rPr>
      <w:rFonts w:ascii="Palatino Linotype" w:eastAsia="Times New Roman" w:hAnsi="Palatino Linotype" w:cs="Times New Roman"/>
      <w:b/>
      <w:color w:val="000000"/>
      <w:sz w:val="20"/>
      <w:lang w:eastAsia="de-DE" w:bidi="en-US"/>
    </w:rPr>
  </w:style>
  <w:style w:type="paragraph" w:styleId="NormalWeb">
    <w:name w:val="Normal (Web)"/>
    <w:basedOn w:val="Normal"/>
    <w:uiPriority w:val="99"/>
    <w:unhideWhenUsed/>
    <w:rsid w:val="00CE604F"/>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character" w:styleId="Textoennegrita">
    <w:name w:val="Strong"/>
    <w:basedOn w:val="Fuentedeprrafopredeter"/>
    <w:uiPriority w:val="22"/>
    <w:qFormat/>
    <w:rsid w:val="00CE604F"/>
    <w:rPr>
      <w:b/>
      <w:bCs/>
    </w:rPr>
  </w:style>
  <w:style w:type="paragraph" w:styleId="Encabezado">
    <w:name w:val="header"/>
    <w:basedOn w:val="Normal"/>
    <w:link w:val="EncabezadoCar"/>
    <w:uiPriority w:val="99"/>
    <w:unhideWhenUsed/>
    <w:rsid w:val="00CF165B"/>
    <w:pPr>
      <w:tabs>
        <w:tab w:val="center" w:pos="4252"/>
        <w:tab w:val="right" w:pos="8504"/>
      </w:tabs>
    </w:pPr>
  </w:style>
  <w:style w:type="character" w:customStyle="1" w:styleId="EncabezadoCar">
    <w:name w:val="Encabezado Car"/>
    <w:basedOn w:val="Fuentedeprrafopredeter"/>
    <w:link w:val="Encabezado"/>
    <w:uiPriority w:val="99"/>
    <w:rsid w:val="00CF165B"/>
    <w:rPr>
      <w:rFonts w:ascii="Book Antiqua" w:eastAsia="Book Antiqua" w:hAnsi="Book Antiqua" w:cs="Book Antiqua"/>
      <w:lang w:val="es-ES"/>
    </w:rPr>
  </w:style>
  <w:style w:type="paragraph" w:styleId="Piedepgina">
    <w:name w:val="footer"/>
    <w:basedOn w:val="Normal"/>
    <w:link w:val="PiedepginaCar"/>
    <w:uiPriority w:val="99"/>
    <w:unhideWhenUsed/>
    <w:rsid w:val="00CF165B"/>
    <w:pPr>
      <w:tabs>
        <w:tab w:val="center" w:pos="4252"/>
        <w:tab w:val="right" w:pos="8504"/>
      </w:tabs>
    </w:pPr>
  </w:style>
  <w:style w:type="character" w:customStyle="1" w:styleId="PiedepginaCar">
    <w:name w:val="Pie de página Car"/>
    <w:basedOn w:val="Fuentedeprrafopredeter"/>
    <w:link w:val="Piedepgina"/>
    <w:uiPriority w:val="99"/>
    <w:rsid w:val="00CF165B"/>
    <w:rPr>
      <w:rFonts w:ascii="Book Antiqua" w:eastAsia="Book Antiqua" w:hAnsi="Book Antiqua" w:cs="Book Antiqua"/>
      <w:lang w:val="es-ES"/>
    </w:rPr>
  </w:style>
  <w:style w:type="character" w:styleId="nfasis">
    <w:name w:val="Emphasis"/>
    <w:basedOn w:val="Fuentedeprrafopredeter"/>
    <w:uiPriority w:val="20"/>
    <w:qFormat/>
    <w:rsid w:val="003A436B"/>
    <w:rPr>
      <w:i/>
      <w:iCs/>
    </w:rPr>
  </w:style>
  <w:style w:type="character" w:styleId="Hipervnculo">
    <w:name w:val="Hyperlink"/>
    <w:basedOn w:val="Fuentedeprrafopredeter"/>
    <w:uiPriority w:val="99"/>
    <w:unhideWhenUsed/>
    <w:rsid w:val="003A436B"/>
    <w:rPr>
      <w:color w:val="0000FF"/>
      <w:u w:val="single"/>
    </w:rPr>
  </w:style>
  <w:style w:type="character" w:styleId="Mencinsinresolver">
    <w:name w:val="Unresolved Mention"/>
    <w:basedOn w:val="Fuentedeprrafopredeter"/>
    <w:uiPriority w:val="99"/>
    <w:semiHidden/>
    <w:unhideWhenUsed/>
    <w:rsid w:val="003A436B"/>
    <w:rPr>
      <w:color w:val="605E5C"/>
      <w:shd w:val="clear" w:color="auto" w:fill="E1DFDD"/>
    </w:rPr>
  </w:style>
  <w:style w:type="character" w:customStyle="1" w:styleId="Ttulo3Car">
    <w:name w:val="Título 3 Car"/>
    <w:basedOn w:val="Fuentedeprrafopredeter"/>
    <w:link w:val="Ttulo3"/>
    <w:uiPriority w:val="9"/>
    <w:semiHidden/>
    <w:rsid w:val="009C446E"/>
    <w:rPr>
      <w:rFonts w:asciiTheme="majorHAnsi" w:eastAsiaTheme="majorEastAsia" w:hAnsiTheme="majorHAnsi" w:cstheme="majorBidi"/>
      <w:color w:val="243F60" w:themeColor="accent1" w:themeShade="7F"/>
      <w:sz w:val="24"/>
      <w:szCs w:val="24"/>
      <w:lang w:val="es-ES"/>
    </w:rPr>
  </w:style>
  <w:style w:type="character" w:styleId="CdigoHTML">
    <w:name w:val="HTML Code"/>
    <w:basedOn w:val="Fuentedeprrafopredeter"/>
    <w:uiPriority w:val="99"/>
    <w:semiHidden/>
    <w:unhideWhenUsed/>
    <w:rsid w:val="00BD4B4B"/>
    <w:rPr>
      <w:rFonts w:ascii="Courier New" w:eastAsia="Times New Roman" w:hAnsi="Courier New" w:cs="Courier New"/>
      <w:sz w:val="20"/>
      <w:szCs w:val="20"/>
    </w:rPr>
  </w:style>
  <w:style w:type="table" w:styleId="Tablaconcuadrcula">
    <w:name w:val="Table Grid"/>
    <w:basedOn w:val="Tablanormal"/>
    <w:uiPriority w:val="39"/>
    <w:rsid w:val="0015006A"/>
    <w:pPr>
      <w:widowControl/>
      <w:autoSpaceDE/>
      <w:autoSpaceDN/>
      <w:ind w:firstLine="720"/>
      <w:jc w:val="both"/>
    </w:pPr>
    <w:rPr>
      <w:rFonts w:ascii="Times New Roman" w:eastAsia="Times New Roman" w:hAnsi="Times New Roman" w:cs="Times New Roman"/>
      <w:sz w:val="24"/>
      <w:szCs w:val="24"/>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DF6711"/>
    <w:pPr>
      <w:spacing w:after="200"/>
    </w:pPr>
    <w:rPr>
      <w:i/>
      <w:iCs/>
      <w:color w:val="1F497D" w:themeColor="text2"/>
      <w:sz w:val="18"/>
      <w:szCs w:val="18"/>
    </w:rPr>
  </w:style>
  <w:style w:type="table" w:styleId="Tablanormal2">
    <w:name w:val="Plain Table 2"/>
    <w:basedOn w:val="Tablanormal"/>
    <w:uiPriority w:val="42"/>
    <w:rsid w:val="00A41EAE"/>
    <w:pPr>
      <w:widowControl/>
      <w:autoSpaceDE/>
      <w:autoSpaceDN/>
      <w:ind w:firstLine="720"/>
      <w:jc w:val="both"/>
    </w:pPr>
    <w:rPr>
      <w:rFonts w:ascii="Times New Roman" w:eastAsia="Times New Roman" w:hAnsi="Times New Roman" w:cs="Times New Roman"/>
      <w:sz w:val="24"/>
      <w:szCs w:val="24"/>
      <w:lang w:val="es-CO" w:eastAsia="es-CO"/>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173471">
      <w:bodyDiv w:val="1"/>
      <w:marLeft w:val="0"/>
      <w:marRight w:val="0"/>
      <w:marTop w:val="0"/>
      <w:marBottom w:val="0"/>
      <w:divBdr>
        <w:top w:val="none" w:sz="0" w:space="0" w:color="auto"/>
        <w:left w:val="none" w:sz="0" w:space="0" w:color="auto"/>
        <w:bottom w:val="none" w:sz="0" w:space="0" w:color="auto"/>
        <w:right w:val="none" w:sz="0" w:space="0" w:color="auto"/>
      </w:divBdr>
    </w:div>
    <w:div w:id="344794955">
      <w:bodyDiv w:val="1"/>
      <w:marLeft w:val="0"/>
      <w:marRight w:val="0"/>
      <w:marTop w:val="0"/>
      <w:marBottom w:val="0"/>
      <w:divBdr>
        <w:top w:val="none" w:sz="0" w:space="0" w:color="auto"/>
        <w:left w:val="none" w:sz="0" w:space="0" w:color="auto"/>
        <w:bottom w:val="none" w:sz="0" w:space="0" w:color="auto"/>
        <w:right w:val="none" w:sz="0" w:space="0" w:color="auto"/>
      </w:divBdr>
    </w:div>
    <w:div w:id="419986146">
      <w:bodyDiv w:val="1"/>
      <w:marLeft w:val="0"/>
      <w:marRight w:val="0"/>
      <w:marTop w:val="0"/>
      <w:marBottom w:val="0"/>
      <w:divBdr>
        <w:top w:val="none" w:sz="0" w:space="0" w:color="auto"/>
        <w:left w:val="none" w:sz="0" w:space="0" w:color="auto"/>
        <w:bottom w:val="none" w:sz="0" w:space="0" w:color="auto"/>
        <w:right w:val="none" w:sz="0" w:space="0" w:color="auto"/>
      </w:divBdr>
    </w:div>
    <w:div w:id="526991897">
      <w:bodyDiv w:val="1"/>
      <w:marLeft w:val="0"/>
      <w:marRight w:val="0"/>
      <w:marTop w:val="0"/>
      <w:marBottom w:val="0"/>
      <w:divBdr>
        <w:top w:val="none" w:sz="0" w:space="0" w:color="auto"/>
        <w:left w:val="none" w:sz="0" w:space="0" w:color="auto"/>
        <w:bottom w:val="none" w:sz="0" w:space="0" w:color="auto"/>
        <w:right w:val="none" w:sz="0" w:space="0" w:color="auto"/>
      </w:divBdr>
    </w:div>
    <w:div w:id="547036543">
      <w:bodyDiv w:val="1"/>
      <w:marLeft w:val="0"/>
      <w:marRight w:val="0"/>
      <w:marTop w:val="0"/>
      <w:marBottom w:val="0"/>
      <w:divBdr>
        <w:top w:val="none" w:sz="0" w:space="0" w:color="auto"/>
        <w:left w:val="none" w:sz="0" w:space="0" w:color="auto"/>
        <w:bottom w:val="none" w:sz="0" w:space="0" w:color="auto"/>
        <w:right w:val="none" w:sz="0" w:space="0" w:color="auto"/>
      </w:divBdr>
    </w:div>
    <w:div w:id="638614768">
      <w:bodyDiv w:val="1"/>
      <w:marLeft w:val="0"/>
      <w:marRight w:val="0"/>
      <w:marTop w:val="0"/>
      <w:marBottom w:val="0"/>
      <w:divBdr>
        <w:top w:val="none" w:sz="0" w:space="0" w:color="auto"/>
        <w:left w:val="none" w:sz="0" w:space="0" w:color="auto"/>
        <w:bottom w:val="none" w:sz="0" w:space="0" w:color="auto"/>
        <w:right w:val="none" w:sz="0" w:space="0" w:color="auto"/>
      </w:divBdr>
    </w:div>
    <w:div w:id="706367986">
      <w:bodyDiv w:val="1"/>
      <w:marLeft w:val="0"/>
      <w:marRight w:val="0"/>
      <w:marTop w:val="0"/>
      <w:marBottom w:val="0"/>
      <w:divBdr>
        <w:top w:val="none" w:sz="0" w:space="0" w:color="auto"/>
        <w:left w:val="none" w:sz="0" w:space="0" w:color="auto"/>
        <w:bottom w:val="none" w:sz="0" w:space="0" w:color="auto"/>
        <w:right w:val="none" w:sz="0" w:space="0" w:color="auto"/>
      </w:divBdr>
    </w:div>
    <w:div w:id="710300964">
      <w:bodyDiv w:val="1"/>
      <w:marLeft w:val="0"/>
      <w:marRight w:val="0"/>
      <w:marTop w:val="0"/>
      <w:marBottom w:val="0"/>
      <w:divBdr>
        <w:top w:val="none" w:sz="0" w:space="0" w:color="auto"/>
        <w:left w:val="none" w:sz="0" w:space="0" w:color="auto"/>
        <w:bottom w:val="none" w:sz="0" w:space="0" w:color="auto"/>
        <w:right w:val="none" w:sz="0" w:space="0" w:color="auto"/>
      </w:divBdr>
    </w:div>
    <w:div w:id="926429444">
      <w:bodyDiv w:val="1"/>
      <w:marLeft w:val="0"/>
      <w:marRight w:val="0"/>
      <w:marTop w:val="0"/>
      <w:marBottom w:val="0"/>
      <w:divBdr>
        <w:top w:val="none" w:sz="0" w:space="0" w:color="auto"/>
        <w:left w:val="none" w:sz="0" w:space="0" w:color="auto"/>
        <w:bottom w:val="none" w:sz="0" w:space="0" w:color="auto"/>
        <w:right w:val="none" w:sz="0" w:space="0" w:color="auto"/>
      </w:divBdr>
    </w:div>
    <w:div w:id="1054738185">
      <w:bodyDiv w:val="1"/>
      <w:marLeft w:val="0"/>
      <w:marRight w:val="0"/>
      <w:marTop w:val="0"/>
      <w:marBottom w:val="0"/>
      <w:divBdr>
        <w:top w:val="none" w:sz="0" w:space="0" w:color="auto"/>
        <w:left w:val="none" w:sz="0" w:space="0" w:color="auto"/>
        <w:bottom w:val="none" w:sz="0" w:space="0" w:color="auto"/>
        <w:right w:val="none" w:sz="0" w:space="0" w:color="auto"/>
      </w:divBdr>
    </w:div>
    <w:div w:id="1080445165">
      <w:bodyDiv w:val="1"/>
      <w:marLeft w:val="0"/>
      <w:marRight w:val="0"/>
      <w:marTop w:val="0"/>
      <w:marBottom w:val="0"/>
      <w:divBdr>
        <w:top w:val="none" w:sz="0" w:space="0" w:color="auto"/>
        <w:left w:val="none" w:sz="0" w:space="0" w:color="auto"/>
        <w:bottom w:val="none" w:sz="0" w:space="0" w:color="auto"/>
        <w:right w:val="none" w:sz="0" w:space="0" w:color="auto"/>
      </w:divBdr>
    </w:div>
    <w:div w:id="1200238655">
      <w:bodyDiv w:val="1"/>
      <w:marLeft w:val="0"/>
      <w:marRight w:val="0"/>
      <w:marTop w:val="0"/>
      <w:marBottom w:val="0"/>
      <w:divBdr>
        <w:top w:val="none" w:sz="0" w:space="0" w:color="auto"/>
        <w:left w:val="none" w:sz="0" w:space="0" w:color="auto"/>
        <w:bottom w:val="none" w:sz="0" w:space="0" w:color="auto"/>
        <w:right w:val="none" w:sz="0" w:space="0" w:color="auto"/>
      </w:divBdr>
    </w:div>
    <w:div w:id="1286736445">
      <w:bodyDiv w:val="1"/>
      <w:marLeft w:val="0"/>
      <w:marRight w:val="0"/>
      <w:marTop w:val="0"/>
      <w:marBottom w:val="0"/>
      <w:divBdr>
        <w:top w:val="none" w:sz="0" w:space="0" w:color="auto"/>
        <w:left w:val="none" w:sz="0" w:space="0" w:color="auto"/>
        <w:bottom w:val="none" w:sz="0" w:space="0" w:color="auto"/>
        <w:right w:val="none" w:sz="0" w:space="0" w:color="auto"/>
      </w:divBdr>
    </w:div>
    <w:div w:id="1584411038">
      <w:bodyDiv w:val="1"/>
      <w:marLeft w:val="0"/>
      <w:marRight w:val="0"/>
      <w:marTop w:val="0"/>
      <w:marBottom w:val="0"/>
      <w:divBdr>
        <w:top w:val="none" w:sz="0" w:space="0" w:color="auto"/>
        <w:left w:val="none" w:sz="0" w:space="0" w:color="auto"/>
        <w:bottom w:val="none" w:sz="0" w:space="0" w:color="auto"/>
        <w:right w:val="none" w:sz="0" w:space="0" w:color="auto"/>
      </w:divBdr>
    </w:div>
    <w:div w:id="1647200677">
      <w:bodyDiv w:val="1"/>
      <w:marLeft w:val="0"/>
      <w:marRight w:val="0"/>
      <w:marTop w:val="0"/>
      <w:marBottom w:val="0"/>
      <w:divBdr>
        <w:top w:val="none" w:sz="0" w:space="0" w:color="auto"/>
        <w:left w:val="none" w:sz="0" w:space="0" w:color="auto"/>
        <w:bottom w:val="none" w:sz="0" w:space="0" w:color="auto"/>
        <w:right w:val="none" w:sz="0" w:space="0" w:color="auto"/>
      </w:divBdr>
    </w:div>
    <w:div w:id="1664043789">
      <w:bodyDiv w:val="1"/>
      <w:marLeft w:val="0"/>
      <w:marRight w:val="0"/>
      <w:marTop w:val="0"/>
      <w:marBottom w:val="0"/>
      <w:divBdr>
        <w:top w:val="none" w:sz="0" w:space="0" w:color="auto"/>
        <w:left w:val="none" w:sz="0" w:space="0" w:color="auto"/>
        <w:bottom w:val="none" w:sz="0" w:space="0" w:color="auto"/>
        <w:right w:val="none" w:sz="0" w:space="0" w:color="auto"/>
      </w:divBdr>
    </w:div>
    <w:div w:id="1779982926">
      <w:bodyDiv w:val="1"/>
      <w:marLeft w:val="0"/>
      <w:marRight w:val="0"/>
      <w:marTop w:val="0"/>
      <w:marBottom w:val="0"/>
      <w:divBdr>
        <w:top w:val="none" w:sz="0" w:space="0" w:color="auto"/>
        <w:left w:val="none" w:sz="0" w:space="0" w:color="auto"/>
        <w:bottom w:val="none" w:sz="0" w:space="0" w:color="auto"/>
        <w:right w:val="none" w:sz="0" w:space="0" w:color="auto"/>
      </w:divBdr>
    </w:div>
    <w:div w:id="1918242412">
      <w:bodyDiv w:val="1"/>
      <w:marLeft w:val="0"/>
      <w:marRight w:val="0"/>
      <w:marTop w:val="0"/>
      <w:marBottom w:val="0"/>
      <w:divBdr>
        <w:top w:val="none" w:sz="0" w:space="0" w:color="auto"/>
        <w:left w:val="none" w:sz="0" w:space="0" w:color="auto"/>
        <w:bottom w:val="none" w:sz="0" w:space="0" w:color="auto"/>
        <w:right w:val="none" w:sz="0" w:space="0" w:color="auto"/>
      </w:divBdr>
    </w:div>
    <w:div w:id="2085687357">
      <w:bodyDiv w:val="1"/>
      <w:marLeft w:val="0"/>
      <w:marRight w:val="0"/>
      <w:marTop w:val="0"/>
      <w:marBottom w:val="0"/>
      <w:divBdr>
        <w:top w:val="none" w:sz="0" w:space="0" w:color="auto"/>
        <w:left w:val="none" w:sz="0" w:space="0" w:color="auto"/>
        <w:bottom w:val="none" w:sz="0" w:space="0" w:color="auto"/>
        <w:right w:val="none" w:sz="0" w:space="0" w:color="auto"/>
      </w:divBdr>
    </w:div>
    <w:div w:id="21430407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microsoft.com/office/2007/relationships/hdphoto" Target="media/hdphoto4.wdp"/><Relationship Id="rId26" Type="http://schemas.microsoft.com/office/2007/relationships/hdphoto" Target="media/hdphoto8.wdp"/><Relationship Id="rId39" Type="http://schemas.openxmlformats.org/officeDocument/2006/relationships/hyperlink" Target="https://dialnet.unirioja.es/servlet/articulo?codigo=4017945" TargetMode="External"/><Relationship Id="rId21" Type="http://schemas.openxmlformats.org/officeDocument/2006/relationships/image" Target="media/image6.png"/><Relationship Id="rId34" Type="http://schemas.openxmlformats.org/officeDocument/2006/relationships/hyperlink" Target="https://seaopenresearch.eu/Journals/articles/SPAS_4_41.pdf" TargetMode="External"/><Relationship Id="rId42" Type="http://schemas.openxmlformats.org/officeDocument/2006/relationships/hyperlink" Target="https://www.ibm.com/es-es/topics/blockchain" TargetMode="External"/><Relationship Id="rId47" Type="http://schemas.openxmlformats.org/officeDocument/2006/relationships/hyperlink" Target="https://es.cointelegraph.com/news/procaduria-in-colombia-formally-begins-to-apply-blockchain-technology-against-corruption" TargetMode="External"/><Relationship Id="rId50" Type="http://schemas.openxmlformats.org/officeDocument/2006/relationships/hyperlink" Target="https://doi.org/10.1109/ACCESS.2021.3052019" TargetMode="External"/><Relationship Id="rId55" Type="http://schemas.openxmlformats.org/officeDocument/2006/relationships/hyperlink" Target="https://doi.org/10.1590/1982-7849rac2020190171" TargetMode="External"/><Relationship Id="rId63" Type="http://schemas.openxmlformats.org/officeDocument/2006/relationships/hyperlink" Target="https://doi.org/10.3390/su12229693" TargetMode="External"/><Relationship Id="rId68" Type="http://schemas.openxmlformats.org/officeDocument/2006/relationships/hyperlink" Target="https://creativecommons.org/licenses/by-sa/4.0/" TargetMode="External"/><Relationship Id="rId7" Type="http://schemas.openxmlformats.org/officeDocument/2006/relationships/endnotes" Target="endnotes.xml"/><Relationship Id="rId71" Type="http://schemas.openxmlformats.org/officeDocument/2006/relationships/footer" Target="footer2.xml"/><Relationship Id="rId2" Type="http://schemas.openxmlformats.org/officeDocument/2006/relationships/numbering" Target="numbering.xml"/><Relationship Id="rId16" Type="http://schemas.microsoft.com/office/2007/relationships/hdphoto" Target="media/hdphoto3.wdp"/><Relationship Id="rId29" Type="http://schemas.openxmlformats.org/officeDocument/2006/relationships/hyperlink" Target="https://compite.com.co/wp-content/uploads/2022/11/CPC_INC_2022_Eficiencia-de-estado.pdf" TargetMode="External"/><Relationship Id="rId11" Type="http://schemas.openxmlformats.org/officeDocument/2006/relationships/image" Target="media/image1.png"/><Relationship Id="rId24" Type="http://schemas.microsoft.com/office/2007/relationships/hdphoto" Target="media/hdphoto7.wdp"/><Relationship Id="rId32" Type="http://schemas.openxmlformats.org/officeDocument/2006/relationships/hyperlink" Target="https://www.uexternado.edu.co/derecho/el-fenomeno-de-la-corrupcion-desde-la-mirada-del-derecho-administrativo/" TargetMode="External"/><Relationship Id="rId37" Type="http://schemas.openxmlformats.org/officeDocument/2006/relationships/hyperlink" Target="https://doi.org/10.1108/TG-02-2017-0015" TargetMode="External"/><Relationship Id="rId40" Type="http://schemas.openxmlformats.org/officeDocument/2006/relationships/hyperlink" Target="https://www.ecb.europa.eu/pub/pdf/scpwps/ecbwp242.pdf" TargetMode="External"/><Relationship Id="rId45" Type="http://schemas.openxmlformats.org/officeDocument/2006/relationships/hyperlink" Target="https://doi.org/10.1016/j.dajour.2023.100344" TargetMode="External"/><Relationship Id="rId53" Type="http://schemas.openxmlformats.org/officeDocument/2006/relationships/hyperlink" Target="https://doi.org/10.3390/su15065067" TargetMode="External"/><Relationship Id="rId58" Type="http://schemas.openxmlformats.org/officeDocument/2006/relationships/hyperlink" Target="https://doi.org/10.3390/su15107884" TargetMode="External"/><Relationship Id="rId66" Type="http://schemas.openxmlformats.org/officeDocument/2006/relationships/hyperlink" Target="https://consensys.io/blockchain-use-cases/government-and-the-public-sector/smart-dubai"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hyperlink" Target="https://doi.org/10.18601/01245996.v21n40.11" TargetMode="External"/><Relationship Id="rId36" Type="http://schemas.openxmlformats.org/officeDocument/2006/relationships/hyperlink" Target="https://herramientas.datos.gov.co/sites/default/files/2023-11/20231122%20-%20Gobierno%20Abierto.pdf" TargetMode="External"/><Relationship Id="rId49" Type="http://schemas.openxmlformats.org/officeDocument/2006/relationships/hyperlink" Target="https://doi.org/10.1016/j.giq.2022.101759" TargetMode="External"/><Relationship Id="rId57" Type="http://schemas.openxmlformats.org/officeDocument/2006/relationships/hyperlink" Target="https://doi.org/10.9781/ijimai.2020.07.005%20&#8593;" TargetMode="External"/><Relationship Id="rId61" Type="http://schemas.openxmlformats.org/officeDocument/2006/relationships/hyperlink" Target="https://doi.org/10.1093/polsoc/puac014" TargetMode="Externa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hyperlink" Target="https://hdl.handle.net/10983/26698" TargetMode="External"/><Relationship Id="rId44" Type="http://schemas.openxmlformats.org/officeDocument/2006/relationships/hyperlink" Target="https://www.ibm.com/es-es/topics/benefits-of-blockchain" TargetMode="External"/><Relationship Id="rId52" Type="http://schemas.openxmlformats.org/officeDocument/2006/relationships/hyperlink" Target="https://doi.org/10.1016/j.giq.2021.101625" TargetMode="External"/><Relationship Id="rId60" Type="http://schemas.openxmlformats.org/officeDocument/2006/relationships/hyperlink" Target="https://publications.iadb.org/publications/spanish/document/Blockchain_en_la_administraci%C3%B3n_p%C3%BAblica_Mucho_ruido_y_pocos_bloques_es.pdf" TargetMode="External"/><Relationship Id="rId65" Type="http://schemas.openxmlformats.org/officeDocument/2006/relationships/hyperlink" Target="https://www.u4.no/blog/anti-corruption-reforms-successful-in-georgia-blockchain-stealing-limelight"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doi.org/10.14483/22487638.xxxxx" TargetMode="External"/><Relationship Id="rId14" Type="http://schemas.microsoft.com/office/2007/relationships/hdphoto" Target="media/hdphoto2.wdp"/><Relationship Id="rId22" Type="http://schemas.microsoft.com/office/2007/relationships/hdphoto" Target="media/hdphoto6.wdp"/><Relationship Id="rId27" Type="http://schemas.openxmlformats.org/officeDocument/2006/relationships/chart" Target="charts/chart1.xml"/><Relationship Id="rId30" Type="http://schemas.openxmlformats.org/officeDocument/2006/relationships/hyperlink" Target="https://img.lalr.co/cms/2018/09/21211810/DIA-2018-Mejor-gasto-para-mejores-vidas-PRENSA.pdf" TargetMode="External"/><Relationship Id="rId35" Type="http://schemas.openxmlformats.org/officeDocument/2006/relationships/hyperlink" Target="https://www.minjusticia.gov.co/programas-co/tejiendo-justicia/Documents/publicaciones/transparencia/ABC.pdf" TargetMode="External"/><Relationship Id="rId43" Type="http://schemas.openxmlformats.org/officeDocument/2006/relationships/hyperlink" Target="https://doi.org/10.9781/ijimai.2020.07.005%20&#8593;" TargetMode="External"/><Relationship Id="rId48" Type="http://schemas.openxmlformats.org/officeDocument/2006/relationships/hyperlink" Target="https://e-estonia.com/blockchain-security-control-for-government-registers/" TargetMode="External"/><Relationship Id="rId56" Type="http://schemas.openxmlformats.org/officeDocument/2006/relationships/hyperlink" Target="https://doi.org/10.3233/IP-190150" TargetMode="External"/><Relationship Id="rId64" Type="http://schemas.openxmlformats.org/officeDocument/2006/relationships/hyperlink" Target="https://doi.org/10.1186/s40854-024-00737-w" TargetMode="External"/><Relationship Id="rId69" Type="http://schemas.openxmlformats.org/officeDocument/2006/relationships/image" Target="media/image9.png"/><Relationship Id="rId8" Type="http://schemas.openxmlformats.org/officeDocument/2006/relationships/hyperlink" Target="https://doi.org/10.14483/22487638.xxxxx" TargetMode="External"/><Relationship Id="rId51" Type="http://schemas.openxmlformats.org/officeDocument/2006/relationships/hyperlink" Target="https://doi.org/10.1016/j.heliyon.2024.e32975" TargetMode="External"/><Relationship Id="rId72" Type="http://schemas.openxmlformats.org/officeDocument/2006/relationships/fontTable" Target="fontTable.xml"/><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hyperlink" Target="https://catedraunescodh.unam.mx/catedra/CONACYT/04_Docentes_UdeO_ubicar_el_de_alumnos/Contenidos/Lecturas%20obligatorias/M.5_cont_1_Valverde_Loya.pdf" TargetMode="External"/><Relationship Id="rId38" Type="http://schemas.openxmlformats.org/officeDocument/2006/relationships/hyperlink" Target="https://ipe.ro/rjef/rjef4_10/rjef4_10_10.pdf" TargetMode="External"/><Relationship Id="rId46" Type="http://schemas.openxmlformats.org/officeDocument/2006/relationships/hyperlink" Target="https://doi.org/10.1787/3c32c429-en" TargetMode="External"/><Relationship Id="rId59" Type="http://schemas.openxmlformats.org/officeDocument/2006/relationships/hyperlink" Target="https://doi.org/10.3390/su151612288" TargetMode="External"/><Relationship Id="rId67" Type="http://schemas.openxmlformats.org/officeDocument/2006/relationships/hyperlink" Target="https://consensys.io/blockchain-use-cases/government-and-the-public-sector/smart-dubai" TargetMode="External"/><Relationship Id="rId20" Type="http://schemas.microsoft.com/office/2007/relationships/hdphoto" Target="media/hdphoto5.wdp"/><Relationship Id="rId41" Type="http://schemas.openxmlformats.org/officeDocument/2006/relationships/hyperlink" Target="https://doi.org/10.1093/oep/gpad036" TargetMode="External"/><Relationship Id="rId54" Type="http://schemas.openxmlformats.org/officeDocument/2006/relationships/hyperlink" Target="https://doi.org/10.1080/25741292.2023.2267864" TargetMode="External"/><Relationship Id="rId62" Type="http://schemas.openxmlformats.org/officeDocument/2006/relationships/hyperlink" Target="https://doi.org/10.1016/j.ijinfomgt.2019.04.013" TargetMode="External"/><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F:\Users\YURY_CASAS\Downloads\GRAFICAS%20SUGERIDAS%20EXTERNALIDADE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Hoja1!$A$2:$A$5</c:f>
              <c:strCache>
                <c:ptCount val="4"/>
                <c:pt idx="0">
                  <c:v>Literatura científica (revisión por pares)</c:v>
                </c:pt>
                <c:pt idx="1">
                  <c:v>Sector privado / especializado</c:v>
                </c:pt>
                <c:pt idx="2">
                  <c:v>Producción académica institucional</c:v>
                </c:pt>
                <c:pt idx="3">
                  <c:v>Fuente institucional / gubernamental</c:v>
                </c:pt>
              </c:strCache>
            </c:strRef>
          </c:cat>
          <c:val>
            <c:numRef>
              <c:f>Hoja1!$B$2:$B$5</c:f>
              <c:numCache>
                <c:formatCode>General</c:formatCode>
                <c:ptCount val="4"/>
                <c:pt idx="0">
                  <c:v>28</c:v>
                </c:pt>
                <c:pt idx="1">
                  <c:v>4</c:v>
                </c:pt>
                <c:pt idx="2">
                  <c:v>2</c:v>
                </c:pt>
                <c:pt idx="3">
                  <c:v>1</c:v>
                </c:pt>
              </c:numCache>
            </c:numRef>
          </c:val>
          <c:extLst>
            <c:ext xmlns:c16="http://schemas.microsoft.com/office/drawing/2014/chart" uri="{C3380CC4-5D6E-409C-BE32-E72D297353CC}">
              <c16:uniqueId val="{00000000-C4B1-4B18-8240-568D73A6DF5C}"/>
            </c:ext>
          </c:extLst>
        </c:ser>
        <c:dLbls>
          <c:showLegendKey val="0"/>
          <c:showVal val="0"/>
          <c:showCatName val="0"/>
          <c:showSerName val="0"/>
          <c:showPercent val="0"/>
          <c:showBubbleSize val="0"/>
        </c:dLbls>
        <c:gapWidth val="219"/>
        <c:overlap val="-27"/>
        <c:axId val="1388891887"/>
        <c:axId val="1388896879"/>
      </c:barChart>
      <c:catAx>
        <c:axId val="1388891887"/>
        <c:scaling>
          <c:orientation val="minMax"/>
        </c:scaling>
        <c:delete val="0"/>
        <c:axPos val="b"/>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GB"/>
                  <a:t>Tipo de documento</a:t>
                </a:r>
              </a:p>
            </c:rich>
          </c:tx>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388896879"/>
        <c:crosses val="autoZero"/>
        <c:auto val="1"/>
        <c:lblAlgn val="ctr"/>
        <c:lblOffset val="100"/>
        <c:noMultiLvlLbl val="0"/>
      </c:catAx>
      <c:valAx>
        <c:axId val="13888968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GB"/>
                  <a:t>Cantidad</a:t>
                </a:r>
                <a:r>
                  <a:rPr lang="en-GB" baseline="0"/>
                  <a:t> de Documentos</a:t>
                </a:r>
                <a:endParaRPr lang="en-GB"/>
              </a:p>
            </c:rich>
          </c:tx>
          <c:overlay val="0"/>
          <c:spPr>
            <a:noFill/>
            <a:ln>
              <a:noFill/>
            </a:ln>
            <a:effectLst/>
          </c:spPr>
          <c:txPr>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38889188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4599CB-00D8-4E79-AD8F-2C7CC3643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22</Pages>
  <Words>9572</Words>
  <Characters>52652</Characters>
  <Application>Microsoft Office Word</Application>
  <DocSecurity>0</DocSecurity>
  <Lines>438</Lines>
  <Paragraphs>124</Paragraphs>
  <ScaleCrop>false</ScaleCrop>
  <HeadingPairs>
    <vt:vector size="2" baseType="variant">
      <vt:variant>
        <vt:lpstr>Título</vt:lpstr>
      </vt:variant>
      <vt:variant>
        <vt:i4>1</vt:i4>
      </vt:variant>
    </vt:vector>
  </HeadingPairs>
  <TitlesOfParts>
    <vt:vector size="1" baseType="lpstr">
      <vt:lpstr>Título en idioma original</vt:lpstr>
    </vt:vector>
  </TitlesOfParts>
  <Company/>
  <LinksUpToDate>false</LinksUpToDate>
  <CharactersWithSpaces>62100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en idioma original</dc:title>
  <dc:subject>https://doi.org/10.14483/22487638.xxxxx</dc:subject>
  <dc:creator>Autores</dc:creator>
  <cp:keywords>palabra1, palabra2, palabra3,...</cp:keywords>
  <dc:description/>
  <cp:lastModifiedBy>yicely rodriguez</cp:lastModifiedBy>
  <cp:revision>2</cp:revision>
  <dcterms:created xsi:type="dcterms:W3CDTF">2025-07-10T22:22:00Z</dcterms:created>
  <dcterms:modified xsi:type="dcterms:W3CDTF">2025-07-17T03:40:00Z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2025-04-24T00:00:00Z</vt:filetime>
  </property>
  <property fmtid="{D5CDD505-2E9C-101B-9397-08002B2CF9AE}" pid="3" name="Creator">
    <vt:lpwstr>Oficina de Investigaciones, revistas-cidc@udistrital.edu.co</vt:lpwstr>
  </property>
  <property fmtid="{D5CDD505-2E9C-101B-9397-08002B2CF9AE}" pid="4" name="LastSaved">
    <vt:filetime>2025-04-24T00:00:00Z</vt:filetime>
  </property>
  <property fmtid="{D5CDD505-2E9C-101B-9397-08002B2CF9AE}" pid="5" name="PTEX.Fullbanner">
    <vt:lpwstr>This is pdfTeX, Version 3.141592653-2.6-1.40.25 (TeX Live 2023/Debian) kpathsea version 6.3.5</vt:lpwstr>
  </property>
  <property fmtid="{D5CDD505-2E9C-101B-9397-08002B2CF9AE}" pid="6" name="Producer">
    <vt:lpwstr>Latex with hyperref</vt:lpwstr>
  </property>
</Properties>
</file>